
<file path=[Content_Types].xml><?xml version="1.0" encoding="utf-8"?>
<Types xmlns="http://schemas.openxmlformats.org/package/2006/content-types">
  <Default Extension="xml" ContentType="application/xml"/>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bookmarkStart w:id="0" w:name="_Toc312230217"/>
      <w:bookmarkStart w:id="1" w:name="_Toc310374958"/>
      <w:r>
        <w:rPr>
          <w:color w:val="auto"/>
          <w:highlight w:val="none"/>
        </w:rPr>
        <w:drawing>
          <wp:anchor distT="0" distB="0" distL="114300" distR="114300" simplePos="0" relativeHeight="251659264" behindDoc="1" locked="0" layoutInCell="1" allowOverlap="1">
            <wp:simplePos x="0" y="0"/>
            <wp:positionH relativeFrom="page">
              <wp:posOffset>-66675</wp:posOffset>
            </wp:positionH>
            <wp:positionV relativeFrom="page">
              <wp:posOffset>-38100</wp:posOffset>
            </wp:positionV>
            <wp:extent cx="7649210" cy="2219325"/>
            <wp:effectExtent l="19050" t="0" r="8890" b="0"/>
            <wp:wrapNone/>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noChangeArrowheads="1"/>
                    </pic:cNvPicPr>
                  </pic:nvPicPr>
                  <pic:blipFill>
                    <a:blip r:embed="rId17" cstate="print"/>
                    <a:srcRect/>
                    <a:stretch>
                      <a:fillRect/>
                    </a:stretch>
                  </pic:blipFill>
                  <pic:spPr>
                    <a:xfrm>
                      <a:off x="0" y="0"/>
                      <a:ext cx="7649210" cy="2219325"/>
                    </a:xfrm>
                    <a:prstGeom prst="rect">
                      <a:avLst/>
                    </a:prstGeom>
                    <a:noFill/>
                    <a:ln w="9525">
                      <a:noFill/>
                      <a:miter lim="800000"/>
                      <a:headEnd/>
                      <a:tailEnd/>
                    </a:ln>
                  </pic:spPr>
                </pic:pic>
              </a:graphicData>
            </a:graphic>
          </wp:anchor>
        </w:drawing>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r>
        <w:rPr>
          <w:color w:val="auto"/>
          <w:highlight w:val="none"/>
        </w:rPr>
        <w:drawing>
          <wp:anchor distT="0" distB="0" distL="114300" distR="114300" simplePos="0" relativeHeight="251660288" behindDoc="1" locked="0" layoutInCell="1" allowOverlap="1">
            <wp:simplePos x="0" y="0"/>
            <wp:positionH relativeFrom="column">
              <wp:posOffset>-323850</wp:posOffset>
            </wp:positionH>
            <wp:positionV relativeFrom="paragraph">
              <wp:posOffset>-494665</wp:posOffset>
            </wp:positionV>
            <wp:extent cx="3314700" cy="709930"/>
            <wp:effectExtent l="19050" t="0" r="0" b="0"/>
            <wp:wrapNone/>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noChangeArrowheads="1"/>
                    </pic:cNvPicPr>
                  </pic:nvPicPr>
                  <pic:blipFill>
                    <a:blip r:embed="rId18" cstate="print"/>
                    <a:srcRect/>
                    <a:stretch>
                      <a:fillRect/>
                    </a:stretch>
                  </pic:blipFill>
                  <pic:spPr>
                    <a:xfrm>
                      <a:off x="0" y="0"/>
                      <a:ext cx="3314700" cy="709930"/>
                    </a:xfrm>
                    <a:prstGeom prst="rect">
                      <a:avLst/>
                    </a:prstGeom>
                    <a:noFill/>
                    <a:ln w="9525">
                      <a:noFill/>
                      <a:miter lim="800000"/>
                      <a:headEnd/>
                      <a:tailEnd/>
                    </a:ln>
                  </pic:spPr>
                </pic:pic>
              </a:graphicData>
            </a:graphic>
          </wp:anchor>
        </w:drawing>
      </w:r>
    </w:p>
    <w:p>
      <w:pPr>
        <w:rPr>
          <w:color w:val="auto"/>
          <w:highlight w:val="none"/>
        </w:rPr>
      </w:pPr>
    </w:p>
    <w:p>
      <w:pPr>
        <w:rPr>
          <w:color w:val="auto"/>
          <w:highlight w:val="none"/>
        </w:rPr>
      </w:pPr>
    </w:p>
    <w:p>
      <w:pPr>
        <w:spacing w:line="360" w:lineRule="auto"/>
        <w:ind w:left="480" w:leftChars="200" w:right="420"/>
        <w:jc w:val="center"/>
        <w:rPr>
          <w:rFonts w:hint="eastAsia" w:ascii="黑体" w:eastAsia="黑体"/>
          <w:color w:val="auto"/>
          <w:highlight w:val="none"/>
        </w:rPr>
      </w:pPr>
      <w:r>
        <w:rPr>
          <w:rFonts w:hint="eastAsia" w:ascii="黑体" w:eastAsia="黑体"/>
          <w:color w:val="auto"/>
          <w:highlight w:val="none"/>
        </w:rPr>
        <w:t xml:space="preserve">                                                             </w:t>
      </w:r>
    </w:p>
    <w:p>
      <w:pPr>
        <w:spacing w:line="360" w:lineRule="auto"/>
        <w:rPr>
          <w:rFonts w:ascii="黑体" w:eastAsia="黑体"/>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outlineLvl w:val="9"/>
        <w:rPr>
          <w:color w:val="auto"/>
          <w:highlight w:val="none"/>
        </w:rPr>
      </w:pPr>
    </w:p>
    <w:p>
      <w:pPr>
        <w:spacing w:line="360" w:lineRule="auto"/>
        <w:jc w:val="center"/>
        <w:outlineLvl w:val="9"/>
        <w:rPr>
          <w:rFonts w:ascii="黑体" w:eastAsia="黑体"/>
          <w:bCs/>
          <w:color w:val="auto"/>
          <w:sz w:val="44"/>
          <w:szCs w:val="44"/>
          <w:highlight w:val="none"/>
        </w:rPr>
      </w:pPr>
      <w:r>
        <w:rPr>
          <w:rFonts w:hint="eastAsia" w:ascii="黑体" w:eastAsia="黑体"/>
          <w:bCs/>
          <w:color w:val="auto"/>
          <w:sz w:val="44"/>
          <w:szCs w:val="44"/>
          <w:highlight w:val="none"/>
        </w:rPr>
        <w:t>南方电网公司</w:t>
      </w:r>
    </w:p>
    <w:p>
      <w:pPr>
        <w:spacing w:line="360" w:lineRule="auto"/>
        <w:jc w:val="center"/>
        <w:outlineLvl w:val="9"/>
        <w:rPr>
          <w:rFonts w:hint="eastAsia" w:ascii="黑体" w:eastAsia="黑体"/>
          <w:bCs/>
          <w:color w:val="auto"/>
          <w:sz w:val="44"/>
          <w:szCs w:val="44"/>
          <w:highlight w:val="none"/>
          <w:lang w:eastAsia="zh-CN"/>
        </w:rPr>
      </w:pPr>
      <w:r>
        <w:rPr>
          <w:rFonts w:hint="eastAsia" w:ascii="黑体" w:eastAsia="黑体"/>
          <w:bCs/>
          <w:color w:val="auto"/>
          <w:sz w:val="44"/>
          <w:szCs w:val="44"/>
        </w:rPr>
        <w:t>新技术</w:t>
      </w:r>
      <w:r>
        <w:rPr>
          <w:rFonts w:hint="eastAsia" w:ascii="黑体" w:eastAsia="黑体"/>
          <w:bCs/>
          <w:color w:val="auto"/>
          <w:sz w:val="44"/>
          <w:szCs w:val="44"/>
          <w:lang w:val="en-US" w:eastAsia="zh-CN"/>
        </w:rPr>
        <w:t>推广应用</w:t>
      </w:r>
      <w:r>
        <w:rPr>
          <w:rFonts w:hint="eastAsia" w:ascii="黑体" w:eastAsia="黑体"/>
          <w:bCs/>
          <w:color w:val="auto"/>
          <w:sz w:val="44"/>
          <w:szCs w:val="44"/>
        </w:rPr>
        <w:t>目录</w:t>
      </w:r>
      <w:r>
        <w:rPr>
          <w:rFonts w:hint="eastAsia" w:ascii="黑体" w:eastAsia="黑体"/>
          <w:bCs/>
          <w:color w:val="auto"/>
          <w:sz w:val="44"/>
          <w:szCs w:val="44"/>
          <w:lang w:eastAsia="zh-CN"/>
        </w:rPr>
        <w:t>（</w:t>
      </w:r>
      <w:r>
        <w:rPr>
          <w:rFonts w:hint="eastAsia" w:ascii="黑体" w:eastAsia="黑体"/>
          <w:bCs/>
          <w:color w:val="auto"/>
          <w:sz w:val="44"/>
          <w:szCs w:val="44"/>
          <w:lang w:val="en-US" w:eastAsia="zh-CN"/>
        </w:rPr>
        <w:t>2022年第二批</w:t>
      </w:r>
      <w:r>
        <w:rPr>
          <w:rFonts w:hint="eastAsia" w:ascii="黑体" w:eastAsia="黑体"/>
          <w:bCs/>
          <w:color w:val="auto"/>
          <w:sz w:val="44"/>
          <w:szCs w:val="44"/>
          <w:lang w:eastAsia="zh-CN"/>
        </w:rPr>
        <w:t>）</w:t>
      </w:r>
    </w:p>
    <w:p>
      <w:pPr>
        <w:spacing w:line="360" w:lineRule="auto"/>
        <w:jc w:val="center"/>
        <w:outlineLvl w:val="9"/>
        <w:rPr>
          <w:rFonts w:hint="eastAsia" w:ascii="黑体" w:eastAsia="黑体"/>
          <w:bCs/>
          <w:color w:val="auto"/>
          <w:sz w:val="44"/>
          <w:szCs w:val="44"/>
          <w:highlight w:val="none"/>
          <w:lang w:val="en-US" w:eastAsia="zh-CN"/>
        </w:rPr>
      </w:pPr>
      <w:r>
        <w:rPr>
          <w:rFonts w:hint="eastAsia" w:ascii="黑体" w:eastAsia="黑体"/>
          <w:bCs/>
          <w:color w:val="auto"/>
          <w:sz w:val="44"/>
          <w:szCs w:val="44"/>
          <w:highlight w:val="none"/>
          <w:lang w:val="en-US" w:eastAsia="zh-CN"/>
        </w:rPr>
        <w:t>（评审稿）</w:t>
      </w:r>
    </w:p>
    <w:p>
      <w:pPr>
        <w:spacing w:line="360" w:lineRule="auto"/>
        <w:jc w:val="center"/>
        <w:rPr>
          <w:rFonts w:ascii="黑体" w:eastAsia="黑体"/>
          <w:bCs/>
          <w:color w:val="auto"/>
          <w:sz w:val="36"/>
          <w:szCs w:val="36"/>
          <w:highlight w:val="none"/>
        </w:rPr>
      </w:pPr>
    </w:p>
    <w:p>
      <w:pPr>
        <w:spacing w:line="360" w:lineRule="auto"/>
        <w:jc w:val="center"/>
        <w:rPr>
          <w:rFonts w:ascii="黑体" w:eastAsia="黑体"/>
          <w:bCs/>
          <w:color w:val="auto"/>
          <w:sz w:val="36"/>
          <w:szCs w:val="36"/>
          <w:highlight w:val="none"/>
        </w:rPr>
      </w:pPr>
    </w:p>
    <w:p>
      <w:pPr>
        <w:spacing w:line="360" w:lineRule="auto"/>
        <w:jc w:val="center"/>
        <w:rPr>
          <w:rFonts w:ascii="黑体" w:eastAsia="黑体"/>
          <w:bCs/>
          <w:color w:val="auto"/>
          <w:sz w:val="36"/>
          <w:szCs w:val="36"/>
          <w:highlight w:val="none"/>
        </w:rPr>
      </w:pPr>
    </w:p>
    <w:p>
      <w:pPr>
        <w:spacing w:line="360" w:lineRule="auto"/>
        <w:jc w:val="center"/>
        <w:rPr>
          <w:rFonts w:ascii="黑体" w:eastAsia="黑体"/>
          <w:bCs/>
          <w:color w:val="auto"/>
          <w:sz w:val="36"/>
          <w:szCs w:val="36"/>
          <w:highlight w:val="none"/>
        </w:rPr>
      </w:pPr>
    </w:p>
    <w:p>
      <w:pPr>
        <w:spacing w:line="360" w:lineRule="auto"/>
        <w:jc w:val="center"/>
        <w:rPr>
          <w:rFonts w:ascii="黑体" w:eastAsia="黑体"/>
          <w:bCs/>
          <w:color w:val="auto"/>
          <w:sz w:val="36"/>
          <w:szCs w:val="36"/>
          <w:highlight w:val="none"/>
        </w:rPr>
      </w:pPr>
    </w:p>
    <w:p>
      <w:pPr>
        <w:spacing w:line="360" w:lineRule="auto"/>
        <w:jc w:val="center"/>
        <w:outlineLvl w:val="9"/>
        <w:rPr>
          <w:rFonts w:hint="eastAsia" w:ascii="黑体" w:eastAsia="黑体"/>
          <w:color w:val="auto"/>
          <w:sz w:val="28"/>
          <w:szCs w:val="28"/>
          <w:highlight w:val="none"/>
          <w:lang w:val="en-US" w:eastAsia="zh-CN"/>
        </w:rPr>
      </w:pPr>
      <w:r>
        <w:rPr>
          <w:rFonts w:hint="eastAsia" w:ascii="黑体" w:eastAsia="黑体"/>
          <w:color w:val="auto"/>
          <w:sz w:val="28"/>
          <w:szCs w:val="28"/>
          <w:highlight w:val="none"/>
          <w:lang w:eastAsia="zh-CN"/>
        </w:rPr>
        <w:t>南方电网公司</w:t>
      </w:r>
    </w:p>
    <w:p>
      <w:pPr>
        <w:spacing w:line="360" w:lineRule="auto"/>
        <w:jc w:val="center"/>
        <w:outlineLvl w:val="9"/>
        <w:rPr>
          <w:rFonts w:ascii="黑体" w:eastAsia="黑体"/>
          <w:color w:val="auto"/>
          <w:sz w:val="36"/>
          <w:szCs w:val="36"/>
          <w:highlight w:val="none"/>
        </w:rPr>
      </w:pPr>
      <w:r>
        <w:rPr>
          <w:rFonts w:hint="eastAsia" w:ascii="黑体" w:hAnsi="宋体" w:eastAsia="黑体"/>
          <w:color w:val="auto"/>
          <w:spacing w:val="24"/>
          <w:sz w:val="28"/>
          <w:szCs w:val="28"/>
          <w:highlight w:val="none"/>
        </w:rPr>
        <w:t>202</w:t>
      </w:r>
      <w:r>
        <w:rPr>
          <w:rFonts w:hint="eastAsia" w:ascii="黑体" w:hAnsi="宋体" w:eastAsia="黑体"/>
          <w:color w:val="auto"/>
          <w:spacing w:val="24"/>
          <w:sz w:val="28"/>
          <w:szCs w:val="28"/>
          <w:highlight w:val="none"/>
          <w:lang w:val="en-US" w:eastAsia="zh-CN"/>
        </w:rPr>
        <w:t>2</w:t>
      </w:r>
      <w:r>
        <w:rPr>
          <w:rFonts w:hint="eastAsia" w:ascii="黑体" w:hAnsi="宋体" w:eastAsia="黑体"/>
          <w:color w:val="auto"/>
          <w:spacing w:val="24"/>
          <w:sz w:val="28"/>
          <w:szCs w:val="28"/>
          <w:highlight w:val="none"/>
        </w:rPr>
        <w:t>年</w:t>
      </w:r>
      <w:r>
        <w:rPr>
          <w:rFonts w:hint="eastAsia" w:ascii="黑体" w:hAnsi="宋体" w:eastAsia="黑体"/>
          <w:color w:val="auto"/>
          <w:spacing w:val="24"/>
          <w:sz w:val="28"/>
          <w:szCs w:val="28"/>
          <w:highlight w:val="none"/>
          <w:lang w:val="en-US" w:eastAsia="zh-CN"/>
        </w:rPr>
        <w:t>9</w:t>
      </w:r>
      <w:r>
        <w:rPr>
          <w:rFonts w:hint="eastAsia" w:ascii="黑体" w:hAnsi="宋体" w:eastAsia="黑体"/>
          <w:color w:val="auto"/>
          <w:spacing w:val="24"/>
          <w:sz w:val="28"/>
          <w:szCs w:val="28"/>
          <w:highlight w:val="none"/>
        </w:rPr>
        <w:t>月</w:t>
      </w:r>
    </w:p>
    <w:p>
      <w:pPr>
        <w:spacing w:before="120" w:after="120" w:line="360" w:lineRule="auto"/>
        <w:jc w:val="center"/>
        <w:outlineLvl w:val="9"/>
        <w:rPr>
          <w:rFonts w:ascii="黑体" w:eastAsia="黑体"/>
          <w:color w:val="auto"/>
          <w:sz w:val="36"/>
          <w:szCs w:val="36"/>
          <w:highlight w:val="none"/>
        </w:rPr>
        <w:sectPr>
          <w:footerReference r:id="rId9" w:type="first"/>
          <w:headerReference r:id="rId5" w:type="default"/>
          <w:footerReference r:id="rId7" w:type="default"/>
          <w:headerReference r:id="rId6" w:type="even"/>
          <w:footerReference r:id="rId8" w:type="even"/>
          <w:type w:val="continuous"/>
          <w:pgSz w:w="11906" w:h="16838"/>
          <w:pgMar w:top="1701" w:right="1417" w:bottom="1417" w:left="1417" w:header="850" w:footer="992" w:gutter="0"/>
          <w:pgNumType w:start="1"/>
          <w:cols w:space="0" w:num="1"/>
          <w:docGrid w:type="lines" w:linePitch="312" w:charSpace="0"/>
        </w:sectPr>
      </w:pPr>
    </w:p>
    <w:p>
      <w:pPr>
        <w:spacing w:line="360" w:lineRule="auto"/>
        <w:jc w:val="center"/>
        <w:outlineLvl w:val="9"/>
        <w:rPr>
          <w:rFonts w:hint="eastAsia" w:ascii="Times New Roman" w:hAnsi="Times New Roman" w:cs="Times New Roman"/>
          <w:b/>
          <w:color w:val="auto"/>
          <w:highlight w:val="none"/>
        </w:rPr>
      </w:pPr>
      <w:r>
        <w:rPr>
          <w:rFonts w:hint="eastAsia" w:ascii="Times New Roman" w:hAnsi="Times New Roman" w:cs="Times New Roman"/>
          <w:b/>
          <w:color w:val="auto"/>
          <w:highlight w:val="none"/>
        </w:rPr>
        <w:t>知识产权声明</w:t>
      </w:r>
    </w:p>
    <w:p>
      <w:pPr>
        <w:spacing w:line="360" w:lineRule="auto"/>
        <w:ind w:firstLine="482" w:firstLineChars="200"/>
        <w:jc w:val="both"/>
        <w:outlineLvl w:val="9"/>
        <w:rPr>
          <w:rFonts w:hint="eastAsia" w:ascii="Times New Roman" w:hAnsi="Times New Roman" w:cs="Times New Roman"/>
          <w:b/>
          <w:color w:val="auto"/>
          <w:highlight w:val="none"/>
        </w:rPr>
      </w:pPr>
      <w:r>
        <w:rPr>
          <w:rFonts w:hint="eastAsia" w:ascii="Times New Roman" w:hAnsi="Times New Roman" w:cs="Times New Roman"/>
          <w:b/>
          <w:color w:val="auto"/>
          <w:highlight w:val="none"/>
        </w:rPr>
        <w:t>南方电网公司拥有本作品的知识产权，未经南方电网公司书面许可，任何单位和个人不得擅自使用（包括但不限于复制、发行、转载、通过信息网络传播等），否则，南方电网公司将依法追究法律责任。</w:t>
      </w:r>
    </w:p>
    <w:p>
      <w:pPr>
        <w:spacing w:line="360" w:lineRule="auto"/>
        <w:ind w:firstLine="482" w:firstLineChars="200"/>
        <w:jc w:val="both"/>
        <w:outlineLvl w:val="9"/>
        <w:rPr>
          <w:rFonts w:hint="eastAsia" w:ascii="Times New Roman" w:hAnsi="Times New Roman" w:cs="Times New Roman"/>
          <w:b/>
          <w:color w:val="auto"/>
          <w:highlight w:val="none"/>
        </w:rPr>
      </w:pPr>
    </w:p>
    <w:p>
      <w:pPr>
        <w:spacing w:line="360" w:lineRule="auto"/>
        <w:ind w:firstLine="482" w:firstLineChars="200"/>
        <w:jc w:val="both"/>
        <w:outlineLvl w:val="9"/>
        <w:rPr>
          <w:rFonts w:hint="eastAsia" w:ascii="Times New Roman" w:hAnsi="Times New Roman" w:cs="Times New Roman"/>
          <w:b/>
          <w:color w:val="auto"/>
          <w:highlight w:val="none"/>
        </w:rPr>
      </w:pPr>
      <w:r>
        <w:rPr>
          <w:rFonts w:hint="eastAsia" w:ascii="Times New Roman" w:hAnsi="Times New Roman" w:cs="Times New Roman"/>
          <w:b/>
          <w:color w:val="auto"/>
          <w:highlight w:val="none"/>
        </w:rPr>
        <w:t xml:space="preserve">Intellectual Property Rights Statement </w:t>
      </w:r>
    </w:p>
    <w:p>
      <w:pPr>
        <w:spacing w:line="360" w:lineRule="auto"/>
        <w:ind w:firstLine="482" w:firstLineChars="200"/>
        <w:jc w:val="both"/>
        <w:outlineLvl w:val="9"/>
        <w:rPr>
          <w:rFonts w:hint="eastAsia" w:ascii="Times New Roman" w:hAnsi="Times New Roman" w:cs="Times New Roman"/>
          <w:b/>
          <w:color w:val="auto"/>
          <w:highlight w:val="none"/>
        </w:rPr>
      </w:pPr>
      <w:r>
        <w:rPr>
          <w:rFonts w:hint="eastAsia" w:ascii="Times New Roman" w:hAnsi="Times New Roman" w:cs="Times New Roman"/>
          <w:b/>
          <w:color w:val="auto"/>
          <w:highlight w:val="none"/>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 .</w:t>
      </w:r>
    </w:p>
    <w:p>
      <w:pPr>
        <w:pStyle w:val="15"/>
        <w:outlineLvl w:val="9"/>
        <w:rPr>
          <w:rFonts w:hint="eastAsia"/>
          <w:color w:val="auto"/>
          <w:highlight w:val="none"/>
          <w:lang w:val="en-US"/>
        </w:rPr>
      </w:pPr>
    </w:p>
    <w:p>
      <w:pPr>
        <w:spacing w:line="360" w:lineRule="auto"/>
        <w:jc w:val="center"/>
        <w:outlineLvl w:val="9"/>
        <w:rPr>
          <w:rFonts w:hint="eastAsia" w:ascii="Times New Roman" w:hAnsi="Times New Roman" w:cs="Times New Roman"/>
          <w:b/>
          <w:color w:val="auto"/>
          <w:highlight w:val="none"/>
        </w:rPr>
      </w:pPr>
      <w:r>
        <w:rPr>
          <w:rFonts w:hint="eastAsia" w:ascii="Times New Roman" w:hAnsi="Times New Roman" w:cs="Times New Roman"/>
          <w:b/>
          <w:color w:val="auto"/>
          <w:highlight w:val="none"/>
        </w:rPr>
        <w:t>法律声明</w:t>
      </w:r>
    </w:p>
    <w:p>
      <w:pPr>
        <w:spacing w:line="360" w:lineRule="auto"/>
        <w:ind w:firstLine="482" w:firstLineChars="200"/>
        <w:jc w:val="both"/>
        <w:outlineLvl w:val="9"/>
        <w:rPr>
          <w:rFonts w:hint="eastAsia" w:ascii="Times New Roman" w:hAnsi="Times New Roman" w:cs="Times New Roman"/>
          <w:b/>
          <w:color w:val="auto"/>
          <w:highlight w:val="none"/>
        </w:rPr>
      </w:pPr>
      <w:r>
        <w:rPr>
          <w:rFonts w:hint="eastAsia" w:ascii="Times New Roman" w:hAnsi="Times New Roman" w:cs="Times New Roman"/>
          <w:b/>
          <w:color w:val="auto"/>
          <w:highlight w:val="none"/>
        </w:rPr>
        <w:t>南方电网公司的互联网通讯工具产生(如:eSpace)的所有内容（包括但不限于聊天使用的文字、图片、音视频以及传送的文件资料等）仅限于在工作范围内使用，任何人未经南方电网公司书面同意，不得以任何方式对外传播使用（包括但不限于复制、下载、转载、转发、披露等），否则，南方电网公司将依法追究法律责任。</w:t>
      </w:r>
    </w:p>
    <w:p>
      <w:pPr>
        <w:ind w:firstLine="480" w:firstLineChars="200"/>
        <w:jc w:val="both"/>
        <w:outlineLvl w:val="9"/>
        <w:rPr>
          <w:rFonts w:hint="eastAsia"/>
          <w:color w:val="auto"/>
          <w:highlight w:val="none"/>
        </w:rPr>
      </w:pPr>
    </w:p>
    <w:p>
      <w:pPr>
        <w:spacing w:line="360" w:lineRule="auto"/>
        <w:ind w:firstLine="482" w:firstLineChars="200"/>
        <w:jc w:val="center"/>
        <w:outlineLvl w:val="9"/>
        <w:rPr>
          <w:rFonts w:hint="eastAsia" w:ascii="Times New Roman" w:hAnsi="Times New Roman" w:cs="Times New Roman"/>
          <w:b/>
          <w:color w:val="auto"/>
          <w:highlight w:val="none"/>
        </w:rPr>
      </w:pPr>
      <w:r>
        <w:rPr>
          <w:rFonts w:hint="eastAsia" w:ascii="Times New Roman" w:hAnsi="Times New Roman" w:cs="Times New Roman"/>
          <w:b/>
          <w:color w:val="auto"/>
          <w:highlight w:val="none"/>
        </w:rPr>
        <w:t>Legal Statement</w:t>
      </w:r>
    </w:p>
    <w:p>
      <w:pPr>
        <w:spacing w:line="360" w:lineRule="auto"/>
        <w:ind w:firstLine="482" w:firstLineChars="200"/>
        <w:outlineLvl w:val="9"/>
        <w:rPr>
          <w:rFonts w:hint="eastAsia" w:ascii="Times New Roman" w:hAnsi="Times New Roman" w:cs="Times New Roman"/>
          <w:b/>
          <w:color w:val="auto"/>
          <w:highlight w:val="none"/>
        </w:rPr>
      </w:pPr>
      <w:r>
        <w:rPr>
          <w:rFonts w:hint="eastAsia" w:ascii="Times New Roman" w:hAnsi="Times New Roman" w:cs="Times New Roman"/>
          <w:b/>
          <w:color w:val="auto"/>
          <w:highlight w:val="none"/>
        </w:rPr>
        <w:t>The contents (including but not limited to texts, images, audio, video and transmitted documents) of China Souther PowerGrid’s internet communication tools e. g. eSpace) can only be used for work - related activities. Any person shall not export (including but not limited to reproduce, download, transmit, forward, disclose and disseminate) without prior written permission and will beheld legally responsible otherwise by China Southern PowerGrid.</w:t>
      </w:r>
    </w:p>
    <w:p>
      <w:pPr>
        <w:spacing w:before="120" w:after="120" w:line="360" w:lineRule="auto"/>
        <w:jc w:val="center"/>
        <w:outlineLvl w:val="9"/>
        <w:rPr>
          <w:rFonts w:ascii="黑体" w:eastAsia="黑体"/>
          <w:color w:val="auto"/>
          <w:sz w:val="36"/>
          <w:szCs w:val="36"/>
          <w:highlight w:val="none"/>
        </w:rPr>
        <w:sectPr>
          <w:pgSz w:w="11906" w:h="16838"/>
          <w:pgMar w:top="1701" w:right="1417" w:bottom="1417" w:left="1417" w:header="850" w:footer="992" w:gutter="0"/>
          <w:pgNumType w:start="1"/>
          <w:cols w:space="0" w:num="1"/>
          <w:docGrid w:type="lines" w:linePitch="312" w:charSpace="0"/>
        </w:sectPr>
      </w:pPr>
    </w:p>
    <w:p>
      <w:pPr>
        <w:tabs>
          <w:tab w:val="right" w:leader="dot" w:pos="9061"/>
        </w:tabs>
        <w:spacing w:line="360" w:lineRule="auto"/>
        <w:jc w:val="center"/>
        <w:outlineLvl w:val="9"/>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目  录</w:t>
      </w:r>
      <w:bookmarkEnd w:id="0"/>
      <w:bookmarkEnd w:id="1"/>
      <w:bookmarkStart w:id="2" w:name="_Toc361395805"/>
      <w:bookmarkStart w:id="3" w:name="_Toc327536378"/>
    </w:p>
    <w:p>
      <w:pPr>
        <w:pStyle w:val="25"/>
        <w:tabs>
          <w:tab w:val="right" w:leader="dot" w:pos="9072"/>
        </w:tabs>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TOC \o "1-2" \h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Cs w:val="24"/>
          <w:highlight w:val="none"/>
        </w:rPr>
        <w:fldChar w:fldCharType="begin"/>
      </w:r>
      <w:r>
        <w:rPr>
          <w:rFonts w:hint="eastAsia" w:ascii="宋体" w:hAnsi="宋体" w:eastAsia="宋体" w:cs="宋体"/>
          <w:szCs w:val="24"/>
          <w:highlight w:val="none"/>
        </w:rPr>
        <w:instrText xml:space="preserve"> HYPERLINK \l _Toc17996 </w:instrText>
      </w:r>
      <w:r>
        <w:rPr>
          <w:rFonts w:hint="eastAsia" w:ascii="宋体" w:hAnsi="宋体" w:eastAsia="宋体" w:cs="宋体"/>
          <w:szCs w:val="24"/>
          <w:highlight w:val="none"/>
        </w:rPr>
        <w:fldChar w:fldCharType="separate"/>
      </w:r>
      <w:r>
        <w:rPr>
          <w:rFonts w:hint="eastAsia" w:ascii="宋体" w:hAnsi="宋体" w:eastAsia="宋体" w:cs="宋体"/>
          <w:lang w:val="en-US" w:eastAsia="zh-CN"/>
        </w:rPr>
        <w:t xml:space="preserve">一、 </w:t>
      </w:r>
      <w:r>
        <w:rPr>
          <w:rFonts w:hint="eastAsia"/>
          <w:lang w:val="en-US" w:eastAsia="zh-CN"/>
        </w:rPr>
        <w:t>生产领域工器具</w:t>
      </w:r>
      <w:r>
        <w:tab/>
      </w:r>
      <w:r>
        <w:fldChar w:fldCharType="begin"/>
      </w:r>
      <w:r>
        <w:instrText xml:space="preserve"> PAGEREF _Toc17996 \h </w:instrText>
      </w:r>
      <w:r>
        <w:fldChar w:fldCharType="separate"/>
      </w:r>
      <w:r>
        <w:t>1</w:t>
      </w:r>
      <w:r>
        <w:fldChar w:fldCharType="end"/>
      </w:r>
      <w:r>
        <w:rPr>
          <w:rFonts w:hint="eastAsia" w:ascii="宋体" w:hAnsi="宋体" w:eastAsia="宋体" w:cs="宋体"/>
          <w:color w:val="auto"/>
          <w:szCs w:val="24"/>
          <w:highlight w:val="none"/>
        </w:rPr>
        <w:fldChar w:fldCharType="end"/>
      </w:r>
    </w:p>
    <w:p>
      <w:pPr>
        <w:pStyle w:val="28"/>
        <w:tabs>
          <w:tab w:val="right" w:leader="dot" w:pos="9072"/>
        </w:tabs>
      </w:pPr>
      <w:r>
        <w:rPr>
          <w:rFonts w:hint="eastAsia" w:ascii="宋体" w:hAnsi="宋体" w:eastAsia="宋体" w:cs="宋体"/>
          <w:color w:val="auto"/>
          <w:szCs w:val="24"/>
          <w:highlight w:val="none"/>
        </w:rPr>
        <w:fldChar w:fldCharType="begin"/>
      </w:r>
      <w:r>
        <w:rPr>
          <w:rFonts w:hint="eastAsia" w:ascii="宋体" w:hAnsi="宋体" w:eastAsia="宋体" w:cs="宋体"/>
          <w:szCs w:val="24"/>
          <w:highlight w:val="none"/>
        </w:rPr>
        <w:instrText xml:space="preserve"> HYPERLINK \l _Toc30657 </w:instrText>
      </w:r>
      <w:r>
        <w:rPr>
          <w:rFonts w:hint="eastAsia" w:ascii="宋体" w:hAnsi="宋体" w:eastAsia="宋体" w:cs="宋体"/>
          <w:szCs w:val="24"/>
          <w:highlight w:val="none"/>
        </w:rPr>
        <w:fldChar w:fldCharType="separate"/>
      </w:r>
      <w:r>
        <w:rPr>
          <w:rFonts w:hint="eastAsia" w:ascii="宋体" w:hAnsi="宋体" w:eastAsia="宋体" w:cs="宋体"/>
          <w:lang w:val="en-US" w:eastAsia="zh-CN"/>
        </w:rPr>
        <w:t xml:space="preserve">1. </w:t>
      </w:r>
      <w:r>
        <w:rPr>
          <w:rFonts w:hint="eastAsia"/>
          <w:lang w:val="en-US" w:eastAsia="zh-CN"/>
        </w:rPr>
        <w:t>多通道无线电容电感测试分析仪</w:t>
      </w:r>
      <w:r>
        <w:tab/>
      </w:r>
      <w:r>
        <w:fldChar w:fldCharType="begin"/>
      </w:r>
      <w:r>
        <w:instrText xml:space="preserve"> PAGEREF _Toc30657 \h </w:instrText>
      </w:r>
      <w:r>
        <w:fldChar w:fldCharType="separate"/>
      </w:r>
      <w:r>
        <w:t>1</w:t>
      </w:r>
      <w:r>
        <w:fldChar w:fldCharType="end"/>
      </w:r>
      <w:r>
        <w:rPr>
          <w:rFonts w:hint="eastAsia" w:ascii="宋体" w:hAnsi="宋体" w:eastAsia="宋体" w:cs="宋体"/>
          <w:color w:val="auto"/>
          <w:szCs w:val="24"/>
          <w:highlight w:val="none"/>
        </w:rPr>
        <w:fldChar w:fldCharType="end"/>
      </w:r>
    </w:p>
    <w:p>
      <w:pPr>
        <w:tabs>
          <w:tab w:val="right" w:leader="dot" w:pos="9061"/>
        </w:tabs>
        <w:spacing w:line="360" w:lineRule="auto"/>
        <w:jc w:val="center"/>
        <w:rPr>
          <w:rFonts w:ascii="黑体" w:hAnsi="黑体" w:eastAsia="黑体" w:cs="黑体"/>
          <w:color w:val="auto"/>
          <w:sz w:val="36"/>
          <w:szCs w:val="36"/>
          <w:highlight w:val="none"/>
        </w:rPr>
        <w:sectPr>
          <w:headerReference r:id="rId11" w:type="first"/>
          <w:footerReference r:id="rId13" w:type="first"/>
          <w:headerReference r:id="rId10" w:type="default"/>
          <w:footerReference r:id="rId12" w:type="default"/>
          <w:pgSz w:w="11906" w:h="16838"/>
          <w:pgMar w:top="1701" w:right="1417" w:bottom="1417" w:left="1417" w:header="850" w:footer="992" w:gutter="0"/>
          <w:pgNumType w:fmt="lowerRoman" w:start="1"/>
          <w:cols w:space="0" w:num="1"/>
          <w:docGrid w:type="lines" w:linePitch="312" w:charSpace="0"/>
        </w:sectPr>
      </w:pPr>
      <w:r>
        <w:rPr>
          <w:rFonts w:hint="eastAsia" w:ascii="宋体" w:hAnsi="宋体" w:eastAsia="宋体" w:cs="宋体"/>
          <w:color w:val="auto"/>
          <w:szCs w:val="24"/>
          <w:highlight w:val="none"/>
        </w:rPr>
        <w:fldChar w:fldCharType="end"/>
      </w:r>
    </w:p>
    <w:bookmarkEnd w:id="2"/>
    <w:bookmarkEnd w:id="3"/>
    <w:p>
      <w:pPr>
        <w:pStyle w:val="3"/>
        <w:bidi w:val="0"/>
        <w:rPr>
          <w:lang w:val="en-US" w:eastAsia="zh-CN"/>
        </w:rPr>
      </w:pPr>
      <w:bookmarkStart w:id="4" w:name="_Toc10385"/>
      <w:bookmarkStart w:id="5" w:name="_Toc6704"/>
      <w:bookmarkStart w:id="6" w:name="_Toc17996"/>
      <w:bookmarkStart w:id="7" w:name="_Toc897"/>
      <w:bookmarkStart w:id="8" w:name="_Toc21088"/>
      <w:bookmarkStart w:id="9" w:name="_Toc5975"/>
      <w:r>
        <w:rPr>
          <w:rFonts w:hint="eastAsia"/>
          <w:lang w:val="en-US" w:eastAsia="zh-CN"/>
        </w:rPr>
        <w:t>生产</w:t>
      </w:r>
      <w:bookmarkEnd w:id="4"/>
      <w:bookmarkEnd w:id="5"/>
      <w:r>
        <w:rPr>
          <w:rFonts w:hint="eastAsia"/>
          <w:lang w:val="en-US" w:eastAsia="zh-CN"/>
        </w:rPr>
        <w:t>领域工器具</w:t>
      </w:r>
      <w:bookmarkEnd w:id="6"/>
    </w:p>
    <w:p>
      <w:pPr>
        <w:pStyle w:val="4"/>
        <w:bidi w:val="0"/>
        <w:rPr>
          <w:lang w:val="en-US" w:eastAsia="zh-CN"/>
        </w:rPr>
      </w:pPr>
      <w:bookmarkStart w:id="10" w:name="_Toc14342"/>
      <w:bookmarkStart w:id="11" w:name="_Toc30657"/>
      <w:r>
        <w:rPr>
          <w:rFonts w:hint="eastAsia"/>
          <w:lang w:val="en-US" w:eastAsia="zh-CN"/>
        </w:rPr>
        <w:t>多通道无线电容电感测试分析仪</w:t>
      </w:r>
      <w:bookmarkEnd w:id="10"/>
      <w:bookmarkEnd w:id="11"/>
    </w:p>
    <w:p>
      <w:pPr>
        <w:pStyle w:val="5"/>
        <w:bidi w:val="0"/>
        <w:rPr>
          <w:lang w:val="en-US" w:eastAsia="zh-CN"/>
        </w:rPr>
      </w:pPr>
      <w:r>
        <w:rPr>
          <w:rFonts w:hint="eastAsia"/>
          <w:lang w:val="en-US" w:eastAsia="zh-CN"/>
        </w:rPr>
        <w:t>新技术（产品）概况</w:t>
      </w:r>
    </w:p>
    <w:p>
      <w:pPr>
        <w:spacing w:line="360" w:lineRule="auto"/>
        <w:ind w:firstLine="420" w:firstLineChars="0"/>
        <w:rPr>
          <w:rFonts w:ascii="宋体" w:hAnsi="宋体" w:eastAsia="宋体" w:cs="宋体"/>
          <w:b/>
          <w:bCs/>
          <w:sz w:val="24"/>
          <w:szCs w:val="24"/>
        </w:rPr>
      </w:pPr>
      <w:r>
        <w:rPr>
          <w:rFonts w:hint="eastAsia" w:ascii="宋体" w:hAnsi="宋体" w:eastAsia="宋体" w:cs="宋体"/>
          <w:b/>
          <w:bCs/>
          <w:sz w:val="24"/>
          <w:szCs w:val="24"/>
        </w:rPr>
        <w:t>（一）</w:t>
      </w:r>
      <w:r>
        <w:rPr>
          <w:rFonts w:hint="eastAsia" w:ascii="宋体" w:hAnsi="宋体" w:eastAsia="宋体" w:cs="宋体"/>
          <w:b/>
          <w:bCs/>
          <w:sz w:val="24"/>
          <w:szCs w:val="24"/>
          <w:lang w:val="en-US" w:eastAsia="zh-CN"/>
        </w:rPr>
        <w:t>技术（产品）</w:t>
      </w:r>
      <w:r>
        <w:rPr>
          <w:rFonts w:hint="eastAsia" w:ascii="宋体" w:hAnsi="宋体" w:eastAsia="宋体" w:cs="宋体"/>
          <w:b/>
          <w:bCs/>
          <w:sz w:val="24"/>
          <w:szCs w:val="24"/>
        </w:rPr>
        <w:t>简介</w:t>
      </w:r>
    </w:p>
    <w:p>
      <w:pPr>
        <w:pStyle w:val="133"/>
        <w:spacing w:line="360" w:lineRule="auto"/>
        <w:ind w:firstLine="480" w:firstLineChars="200"/>
        <w:rPr>
          <w:rFonts w:hint="default" w:ascii="Times New Roman" w:hAnsi="Times New Roman" w:eastAsia="宋体" w:cs="Times New Roman"/>
          <w:i/>
          <w:iCs/>
          <w:color w:val="auto"/>
          <w:kern w:val="2"/>
          <w:sz w:val="24"/>
          <w:highlight w:val="yellow"/>
          <w:lang w:val="en-US" w:eastAsia="zh-CN"/>
        </w:rPr>
      </w:pPr>
      <w:r>
        <w:rPr>
          <w:rFonts w:hint="eastAsia" w:ascii="Times New Roman" w:hAnsi="Times New Roman" w:eastAsia="宋体" w:cs="Times New Roman"/>
          <w:i/>
          <w:iCs/>
          <w:color w:val="auto"/>
          <w:kern w:val="2"/>
          <w:sz w:val="24"/>
          <w:highlight w:val="yellow"/>
          <w:lang w:val="en-US" w:eastAsia="zh-CN"/>
        </w:rPr>
        <w:t>（1.简要介绍该类产品在电网中的应用场景，用于开展哪项具体工作；</w:t>
      </w:r>
    </w:p>
    <w:p>
      <w:pPr>
        <w:pStyle w:val="133"/>
        <w:spacing w:line="360" w:lineRule="auto"/>
        <w:ind w:firstLine="480" w:firstLineChars="200"/>
        <w:rPr>
          <w:rFonts w:hint="eastAsia" w:ascii="Times New Roman" w:hAnsi="Times New Roman" w:eastAsia="宋体" w:cs="Times New Roman"/>
          <w:i/>
          <w:iCs/>
          <w:color w:val="auto"/>
          <w:kern w:val="2"/>
          <w:sz w:val="24"/>
          <w:highlight w:val="yellow"/>
          <w:lang w:val="en-US" w:eastAsia="zh-CN"/>
        </w:rPr>
      </w:pPr>
      <w:r>
        <w:rPr>
          <w:rFonts w:hint="eastAsia" w:ascii="Times New Roman" w:hAnsi="Times New Roman" w:eastAsia="宋体" w:cs="Times New Roman"/>
          <w:i/>
          <w:iCs/>
          <w:color w:val="auto"/>
          <w:kern w:val="2"/>
          <w:sz w:val="24"/>
          <w:highlight w:val="yellow"/>
          <w:lang w:val="en-US" w:eastAsia="zh-CN"/>
        </w:rPr>
        <w:t>2.目前市面上开展该项工作的常用同类产品情况；</w:t>
      </w:r>
    </w:p>
    <w:p>
      <w:pPr>
        <w:pStyle w:val="133"/>
        <w:spacing w:line="360" w:lineRule="auto"/>
        <w:ind w:firstLine="480" w:firstLineChars="200"/>
        <w:rPr>
          <w:rFonts w:hint="eastAsia" w:ascii="Times New Roman" w:hAnsi="Times New Roman" w:eastAsia="宋体" w:cs="Times New Roman"/>
          <w:i/>
          <w:iCs/>
          <w:color w:val="FF0000"/>
          <w:kern w:val="2"/>
          <w:sz w:val="24"/>
          <w:highlight w:val="yellow"/>
          <w:lang w:val="en-US" w:eastAsia="zh-CN"/>
        </w:rPr>
      </w:pPr>
      <w:r>
        <w:rPr>
          <w:rFonts w:hint="eastAsia" w:ascii="Times New Roman" w:hAnsi="Times New Roman" w:eastAsia="宋体" w:cs="Times New Roman"/>
          <w:i/>
          <w:iCs/>
          <w:color w:val="auto"/>
          <w:kern w:val="2"/>
          <w:sz w:val="24"/>
          <w:highlight w:val="yellow"/>
          <w:lang w:val="en-US" w:eastAsia="zh-CN"/>
        </w:rPr>
        <w:t>3.该新产品的应用场景，功能、特点，补充产品型号、并附上产品图片。</w:t>
      </w:r>
    </w:p>
    <w:p>
      <w:pPr>
        <w:pStyle w:val="133"/>
        <w:spacing w:line="360" w:lineRule="auto"/>
        <w:ind w:firstLine="482" w:firstLineChars="200"/>
        <w:rPr>
          <w:rFonts w:hint="eastAsia" w:ascii="Times New Roman" w:hAnsi="Times New Roman" w:eastAsia="宋体" w:cs="Times New Roman"/>
          <w:color w:val="auto"/>
          <w:kern w:val="2"/>
          <w:sz w:val="24"/>
          <w:highlight w:val="none"/>
          <w:lang w:val="en-US" w:eastAsia="zh-CN"/>
        </w:rPr>
      </w:pPr>
      <w:r>
        <w:rPr>
          <w:rFonts w:hint="eastAsia" w:ascii="Times New Roman" w:hAnsi="Times New Roman" w:eastAsia="宋体" w:cs="Times New Roman"/>
          <w:b/>
          <w:bCs/>
          <w:i/>
          <w:iCs/>
          <w:color w:val="auto"/>
          <w:kern w:val="2"/>
          <w:sz w:val="24"/>
          <w:highlight w:val="yellow"/>
          <w:lang w:val="en-US" w:eastAsia="zh-CN"/>
        </w:rPr>
        <w:t>内容要精简明确，从功能、指标上客观描述，避免主观评价、夸大成效</w:t>
      </w:r>
      <w:r>
        <w:rPr>
          <w:rFonts w:hint="eastAsia" w:ascii="Times New Roman" w:hAnsi="Times New Roman" w:eastAsia="宋体" w:cs="Times New Roman"/>
          <w:i/>
          <w:iCs/>
          <w:color w:val="auto"/>
          <w:kern w:val="2"/>
          <w:sz w:val="24"/>
          <w:highlight w:val="yellow"/>
          <w:lang w:val="en-US" w:eastAsia="zh-CN"/>
        </w:rPr>
        <w:t>）</w:t>
      </w:r>
    </w:p>
    <w:p>
      <w:pPr>
        <w:pStyle w:val="133"/>
        <w:spacing w:line="360" w:lineRule="auto"/>
        <w:ind w:firstLine="480" w:firstLineChars="200"/>
        <w:rPr>
          <w:rFonts w:hint="eastAsia" w:ascii="Times New Roman" w:hAnsi="Times New Roman" w:eastAsia="宋体" w:cs="Times New Roman"/>
          <w:color w:val="auto"/>
          <w:kern w:val="2"/>
          <w:sz w:val="24"/>
          <w:szCs w:val="22"/>
          <w:u w:color="000000"/>
          <w:lang w:val="en-US" w:eastAsia="zh-CN" w:bidi="ar-SA"/>
        </w:rPr>
      </w:pPr>
      <w:r>
        <w:rPr>
          <w:rFonts w:hint="eastAsia" w:ascii="Times New Roman" w:hAnsi="Times New Roman" w:eastAsia="宋体" w:cs="Times New Roman"/>
          <w:color w:val="auto"/>
          <w:kern w:val="2"/>
          <w:sz w:val="24"/>
          <w:highlight w:val="none"/>
          <w:lang w:val="en-US" w:eastAsia="zh-CN"/>
        </w:rPr>
        <w:t>按照公司《电力设备检修试验规程》（Q/CSG 1206007-2017）规定，并联电容器组应每6年检修试验或必要时应开展一次电容量测量试验。目前市面上开展并联电容器组电容值测试的常用设备主要是不拆线电容电桥（电容电感测试仪），在测试精度、功能上均满足检修试验要求。</w:t>
      </w:r>
      <w:r>
        <w:rPr>
          <w:rFonts w:hint="eastAsia" w:ascii="Times New Roman" w:hAnsi="Times New Roman" w:eastAsia="宋体" w:cs="Times New Roman"/>
          <w:color w:val="auto"/>
          <w:kern w:val="2"/>
          <w:sz w:val="24"/>
          <w:lang w:val="en-US" w:eastAsia="zh-CN"/>
        </w:rPr>
        <w:t>本次纳入推广应用目录的多通道无线电容电感测试分析仪（型号：IECL-6800），主要应用于变电站电容器组电容量测量工作，测试精度、功能满足检修试验要求，并新增了六通道同时测量、无线同步测量及剩余电量可视化等功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center"/>
        <w:textAlignment w:val="auto"/>
        <w:outlineLvl w:val="9"/>
        <w:rPr>
          <w:rFonts w:eastAsia="宋体"/>
          <w:sz w:val="21"/>
        </w:rPr>
      </w:pPr>
      <w:r>
        <w:rPr>
          <w:rFonts w:eastAsia="宋体"/>
          <w:sz w:val="21"/>
        </w:rPr>
        <w:drawing>
          <wp:inline distT="0" distB="0" distL="114300" distR="114300">
            <wp:extent cx="4337685" cy="3262630"/>
            <wp:effectExtent l="0" t="0" r="5715" b="13970"/>
            <wp:docPr id="58" name="图片 1" descr="76f2616793cef254614021d7ebad4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 descr="76f2616793cef254614021d7ebad4c4"/>
                    <pic:cNvPicPr>
                      <a:picLocks noChangeAspect="1"/>
                    </pic:cNvPicPr>
                  </pic:nvPicPr>
                  <pic:blipFill>
                    <a:blip r:embed="rId19" cstate="print"/>
                    <a:stretch>
                      <a:fillRect/>
                    </a:stretch>
                  </pic:blipFill>
                  <pic:spPr>
                    <a:xfrm>
                      <a:off x="0" y="0"/>
                      <a:ext cx="4337685" cy="3262630"/>
                    </a:xfrm>
                    <a:prstGeom prst="rect">
                      <a:avLst/>
                    </a:prstGeom>
                    <a:noFill/>
                    <a:ln w="9525">
                      <a:noFill/>
                    </a:ln>
                  </pic:spPr>
                </pic:pic>
              </a:graphicData>
            </a:graphic>
          </wp:inline>
        </w:drawing>
      </w:r>
    </w:p>
    <w:p>
      <w:pPr>
        <w:widowControl w:val="0"/>
        <w:spacing w:line="360" w:lineRule="auto"/>
        <w:ind w:firstLine="0" w:firstLineChars="0"/>
        <w:jc w:val="center"/>
        <w:rPr>
          <w:rFonts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图1-1 多通道无线电容电感测试分析仪及附件</w:t>
      </w:r>
    </w:p>
    <w:p>
      <w:pPr>
        <w:widowControl w:val="0"/>
        <w:spacing w:line="360" w:lineRule="auto"/>
        <w:ind w:firstLine="0" w:firstLineChars="0"/>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表1-1新型仪器与当前测试仪功能对比</w:t>
      </w:r>
    </w:p>
    <w:tbl>
      <w:tblPr>
        <w:tblStyle w:val="32"/>
        <w:tblW w:w="8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72"/>
        <w:gridCol w:w="1961"/>
        <w:gridCol w:w="2598"/>
        <w:gridCol w:w="27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jc w:val="center"/>
        </w:trPr>
        <w:tc>
          <w:tcPr>
            <w:tcW w:w="3333" w:type="dxa"/>
            <w:gridSpan w:val="2"/>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标准、工作要求</w:t>
            </w:r>
          </w:p>
        </w:tc>
        <w:tc>
          <w:tcPr>
            <w:tcW w:w="2598" w:type="dxa"/>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当前市场产品</w:t>
            </w:r>
          </w:p>
        </w:tc>
        <w:tc>
          <w:tcPr>
            <w:tcW w:w="2767" w:type="dxa"/>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新技术产品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60" w:hRule="atLeast"/>
          <w:jc w:val="center"/>
        </w:trPr>
        <w:tc>
          <w:tcPr>
            <w:tcW w:w="1372" w:type="dxa"/>
            <w:vMerge w:val="restart"/>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《电力设备检修试验规程》规定</w:t>
            </w:r>
          </w:p>
        </w:tc>
        <w:tc>
          <w:tcPr>
            <w:tcW w:w="1961" w:type="dxa"/>
            <w:vMerge w:val="restart"/>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highlight w:val="none"/>
                <w:lang w:val="en-US" w:eastAsia="zh-CN"/>
              </w:rPr>
            </w:pPr>
            <w:r>
              <w:rPr>
                <w:rFonts w:hint="eastAsia" w:cs="Times New Roman"/>
                <w:b/>
                <w:bCs/>
                <w:color w:val="auto"/>
                <w:sz w:val="21"/>
                <w:szCs w:val="21"/>
                <w:highlight w:val="none"/>
                <w:lang w:val="en-US" w:eastAsia="zh-CN"/>
              </w:rPr>
              <w:t>电容器</w:t>
            </w:r>
            <w:r>
              <w:rPr>
                <w:rFonts w:hint="eastAsia" w:cs="Times New Roman"/>
                <w:color w:val="auto"/>
                <w:sz w:val="21"/>
                <w:szCs w:val="21"/>
                <w:highlight w:val="none"/>
                <w:lang w:val="en-US" w:eastAsia="zh-CN"/>
              </w:rPr>
              <w:t>：每6年或必要时应开展</w:t>
            </w:r>
            <w:r>
              <w:rPr>
                <w:rFonts w:hint="eastAsia" w:ascii="Times New Roman" w:hAnsi="Times New Roman" w:cs="Times New Roman"/>
                <w:color w:val="auto"/>
                <w:sz w:val="21"/>
                <w:szCs w:val="21"/>
                <w:highlight w:val="none"/>
                <w:lang w:val="en-US" w:eastAsia="zh-CN"/>
              </w:rPr>
              <w:t>电容值</w:t>
            </w:r>
            <w:r>
              <w:rPr>
                <w:rFonts w:hint="eastAsia" w:cs="Times New Roman"/>
                <w:color w:val="auto"/>
                <w:sz w:val="21"/>
                <w:szCs w:val="21"/>
                <w:highlight w:val="none"/>
                <w:lang w:val="en-US" w:eastAsia="zh-CN"/>
              </w:rPr>
              <w:t>测量，要求电容值偏差不超过额定值±5%</w:t>
            </w:r>
          </w:p>
        </w:tc>
        <w:tc>
          <w:tcPr>
            <w:tcW w:w="2598" w:type="dxa"/>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功能、测量精度满足检修试验规程要求</w:t>
            </w:r>
            <w:r>
              <w:rPr>
                <w:rFonts w:hint="eastAsia" w:cs="Times New Roman"/>
                <w:color w:val="auto"/>
                <w:sz w:val="21"/>
                <w:szCs w:val="21"/>
                <w:lang w:val="en-US" w:eastAsia="zh-CN"/>
              </w:rPr>
              <w:t>。</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cs="Times New Roman"/>
                <w:color w:val="auto"/>
                <w:sz w:val="21"/>
                <w:szCs w:val="21"/>
                <w:lang w:val="en-US" w:eastAsia="zh-CN"/>
              </w:rPr>
              <w:t>（1）</w:t>
            </w:r>
            <w:r>
              <w:rPr>
                <w:rFonts w:hint="eastAsia" w:ascii="Times New Roman" w:hAnsi="Times New Roman" w:cs="Times New Roman"/>
                <w:color w:val="auto"/>
                <w:sz w:val="21"/>
                <w:szCs w:val="21"/>
                <w:lang w:val="en-US" w:eastAsia="zh-CN"/>
              </w:rPr>
              <w:t>测量精度</w:t>
            </w:r>
            <w:r>
              <w:rPr>
                <w:rFonts w:hint="eastAsia" w:cs="Times New Roman"/>
                <w:color w:val="auto"/>
                <w:sz w:val="21"/>
                <w:szCs w:val="21"/>
                <w:lang w:val="en-US" w:eastAsia="zh-CN"/>
              </w:rPr>
              <w:t>：</w:t>
            </w:r>
            <w:r>
              <w:rPr>
                <w:rFonts w:hint="eastAsia" w:ascii="Times New Roman" w:hAnsi="Times New Roman" w:cs="Times New Roman"/>
                <w:color w:val="auto"/>
                <w:sz w:val="21"/>
                <w:szCs w:val="21"/>
                <w:lang w:val="en-US" w:eastAsia="zh-CN"/>
              </w:rPr>
              <w:t>±1%</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cs="Times New Roman"/>
                <w:color w:val="auto"/>
                <w:sz w:val="21"/>
                <w:szCs w:val="21"/>
                <w:lang w:val="en-US" w:eastAsia="zh-CN"/>
              </w:rPr>
              <w:t>（2）</w:t>
            </w:r>
            <w:r>
              <w:rPr>
                <w:rFonts w:hint="eastAsia" w:ascii="Times New Roman" w:hAnsi="Times New Roman" w:cs="Times New Roman"/>
                <w:color w:val="auto"/>
                <w:sz w:val="21"/>
                <w:szCs w:val="21"/>
                <w:lang w:val="en-US" w:eastAsia="zh-CN"/>
              </w:rPr>
              <w:t>分辨率：0.001μF</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（3）</w:t>
            </w:r>
            <w:r>
              <w:rPr>
                <w:rFonts w:hint="eastAsia" w:ascii="Times New Roman" w:hAnsi="Times New Roman" w:cs="Times New Roman"/>
                <w:color w:val="auto"/>
                <w:sz w:val="21"/>
                <w:szCs w:val="21"/>
                <w:lang w:val="en-US" w:eastAsia="zh-CN"/>
              </w:rPr>
              <w:t>测量范围：0-1000至3000μF（单组电容器单元一般为20-50μF）</w:t>
            </w:r>
          </w:p>
        </w:tc>
        <w:tc>
          <w:tcPr>
            <w:tcW w:w="2767" w:type="dxa"/>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功能、测量精度满足检修试验规程要求</w:t>
            </w:r>
            <w:r>
              <w:rPr>
                <w:rFonts w:hint="eastAsia" w:cs="Times New Roman"/>
                <w:color w:val="auto"/>
                <w:sz w:val="21"/>
                <w:szCs w:val="21"/>
                <w:lang w:val="en-US" w:eastAsia="zh-CN"/>
              </w:rPr>
              <w:t>。</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cs="Times New Roman"/>
                <w:color w:val="auto"/>
                <w:sz w:val="21"/>
                <w:szCs w:val="21"/>
                <w:lang w:val="en-US" w:eastAsia="zh-CN"/>
              </w:rPr>
              <w:t>（1）</w:t>
            </w:r>
            <w:r>
              <w:rPr>
                <w:rFonts w:hint="eastAsia" w:ascii="Times New Roman" w:hAnsi="Times New Roman" w:cs="Times New Roman"/>
                <w:color w:val="auto"/>
                <w:sz w:val="21"/>
                <w:szCs w:val="21"/>
                <w:lang w:val="en-US" w:eastAsia="zh-CN"/>
              </w:rPr>
              <w:t>测量精度：±1%</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cs="Times New Roman"/>
                <w:color w:val="auto"/>
                <w:sz w:val="21"/>
                <w:szCs w:val="21"/>
                <w:lang w:val="en-US" w:eastAsia="zh-CN"/>
              </w:rPr>
              <w:t>（2）</w:t>
            </w:r>
            <w:r>
              <w:rPr>
                <w:rFonts w:hint="eastAsia" w:ascii="Times New Roman" w:hAnsi="Times New Roman" w:cs="Times New Roman"/>
                <w:color w:val="auto"/>
                <w:sz w:val="21"/>
                <w:szCs w:val="21"/>
                <w:lang w:val="en-US" w:eastAsia="zh-CN"/>
              </w:rPr>
              <w:t>分辨率：0.001μF</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cs="Times New Roman"/>
                <w:color w:val="auto"/>
                <w:sz w:val="21"/>
                <w:szCs w:val="21"/>
                <w:lang w:val="en-US" w:eastAsia="zh-CN"/>
              </w:rPr>
              <w:t>（3）</w:t>
            </w:r>
            <w:r>
              <w:rPr>
                <w:rFonts w:hint="eastAsia" w:ascii="Times New Roman" w:hAnsi="Times New Roman" w:cs="Times New Roman"/>
                <w:color w:val="auto"/>
                <w:sz w:val="21"/>
                <w:szCs w:val="21"/>
                <w:lang w:val="en-US" w:eastAsia="zh-CN"/>
              </w:rPr>
              <w:t>测量范围：1～2000μF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5" w:hRule="atLeast"/>
          <w:jc w:val="center"/>
        </w:trPr>
        <w:tc>
          <w:tcPr>
            <w:tcW w:w="1372" w:type="dxa"/>
            <w:vMerge w:val="continue"/>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highlight w:val="none"/>
                <w:lang w:val="en-US" w:eastAsia="zh-CN"/>
              </w:rPr>
            </w:pPr>
          </w:p>
        </w:tc>
        <w:tc>
          <w:tcPr>
            <w:tcW w:w="1961" w:type="dxa"/>
            <w:vMerge w:val="continue"/>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cs="Times New Roman"/>
                <w:color w:val="auto"/>
                <w:sz w:val="21"/>
                <w:szCs w:val="21"/>
                <w:highlight w:val="none"/>
                <w:lang w:val="en-US" w:eastAsia="zh-CN"/>
              </w:rPr>
            </w:pPr>
          </w:p>
        </w:tc>
        <w:tc>
          <w:tcPr>
            <w:tcW w:w="2598" w:type="dxa"/>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附加功能：</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（1）</w:t>
            </w:r>
            <w:r>
              <w:rPr>
                <w:rFonts w:hint="default" w:ascii="Times New Roman" w:hAnsi="Times New Roman" w:cs="Times New Roman"/>
                <w:color w:val="auto"/>
                <w:sz w:val="21"/>
                <w:szCs w:val="21"/>
                <w:lang w:val="en-US" w:eastAsia="zh-CN"/>
              </w:rPr>
              <w:t>单</w:t>
            </w:r>
            <w:r>
              <w:rPr>
                <w:rFonts w:hint="eastAsia" w:ascii="Times New Roman" w:hAnsi="Times New Roman" w:cs="Times New Roman"/>
                <w:color w:val="auto"/>
                <w:sz w:val="21"/>
                <w:szCs w:val="21"/>
                <w:lang w:val="en-US" w:eastAsia="zh-CN"/>
              </w:rPr>
              <w:t>、多通道测量</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（2）</w:t>
            </w:r>
            <w:r>
              <w:rPr>
                <w:rFonts w:hint="default" w:ascii="Times New Roman" w:hAnsi="Times New Roman" w:cs="Times New Roman"/>
                <w:color w:val="auto"/>
                <w:sz w:val="21"/>
                <w:szCs w:val="21"/>
                <w:lang w:val="en-US" w:eastAsia="zh-CN"/>
              </w:rPr>
              <w:t>有线测试</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（3）</w:t>
            </w:r>
            <w:r>
              <w:rPr>
                <w:rFonts w:hint="default" w:ascii="Times New Roman" w:hAnsi="Times New Roman" w:cs="Times New Roman"/>
                <w:color w:val="auto"/>
                <w:sz w:val="21"/>
                <w:szCs w:val="21"/>
                <w:lang w:val="en-US" w:eastAsia="zh-CN"/>
              </w:rPr>
              <w:t>配置常规放电棒</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（4）数据记录分析功能</w:t>
            </w:r>
          </w:p>
        </w:tc>
        <w:tc>
          <w:tcPr>
            <w:tcW w:w="2767" w:type="dxa"/>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附加功能：</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（1）6个通道测量</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（2）无线测试</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（3）配置剩余电荷可视化验电放电装置</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（4）数据记录分析功能</w:t>
            </w:r>
            <w:r>
              <w:rPr>
                <w:rFonts w:hint="eastAsia" w:cs="Times New Roman"/>
                <w:color w:val="auto"/>
                <w:sz w:val="21"/>
                <w:szCs w:val="21"/>
                <w:lang w:val="en-US" w:eastAsia="zh-CN"/>
              </w:rPr>
              <w:t>，附加电容值数据库</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（5）配置免登高作业测试操作绝缘杆工具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2" w:hRule="atLeast"/>
          <w:jc w:val="center"/>
        </w:trPr>
        <w:tc>
          <w:tcPr>
            <w:tcW w:w="1372" w:type="dxa"/>
            <w:vMerge w:val="continue"/>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highlight w:val="none"/>
                <w:lang w:val="en-US" w:eastAsia="zh-CN"/>
              </w:rPr>
            </w:pPr>
          </w:p>
        </w:tc>
        <w:tc>
          <w:tcPr>
            <w:tcW w:w="1961" w:type="dxa"/>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cs="Times New Roman"/>
                <w:color w:val="auto"/>
                <w:sz w:val="21"/>
                <w:szCs w:val="21"/>
                <w:highlight w:val="none"/>
                <w:lang w:val="en-US" w:eastAsia="zh-CN"/>
              </w:rPr>
            </w:pPr>
            <w:r>
              <w:rPr>
                <w:rFonts w:hint="eastAsia" w:cs="Times New Roman"/>
                <w:b/>
                <w:bCs/>
                <w:color w:val="auto"/>
                <w:sz w:val="21"/>
                <w:szCs w:val="21"/>
                <w:highlight w:val="none"/>
                <w:lang w:val="en-US" w:eastAsia="zh-CN"/>
              </w:rPr>
              <w:t>电抗器</w:t>
            </w:r>
            <w:r>
              <w:rPr>
                <w:rFonts w:hint="eastAsia" w:cs="Times New Roman"/>
                <w:b w:val="0"/>
                <w:bCs w:val="0"/>
                <w:color w:val="auto"/>
                <w:sz w:val="21"/>
                <w:szCs w:val="21"/>
                <w:highlight w:val="none"/>
                <w:lang w:val="en-US" w:eastAsia="zh-CN"/>
              </w:rPr>
              <w:t>：必要时开展</w:t>
            </w:r>
            <w:r>
              <w:rPr>
                <w:rFonts w:hint="eastAsia" w:cs="Times New Roman"/>
                <w:color w:val="auto"/>
                <w:sz w:val="21"/>
                <w:szCs w:val="21"/>
                <w:highlight w:val="none"/>
                <w:lang w:val="en-US" w:eastAsia="zh-CN"/>
              </w:rPr>
              <w:t>阻抗测量，要求与出厂值相差±5%以内</w:t>
            </w:r>
          </w:p>
        </w:tc>
        <w:tc>
          <w:tcPr>
            <w:tcW w:w="2598" w:type="dxa"/>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功能、测量精度满足检修试验规程要求。</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（1）测量精度：±</w:t>
            </w:r>
            <w:r>
              <w:rPr>
                <w:rFonts w:hint="eastAsia" w:cs="Times New Roman"/>
                <w:color w:val="auto"/>
                <w:sz w:val="21"/>
                <w:szCs w:val="21"/>
                <w:lang w:val="en-US" w:eastAsia="zh-CN"/>
              </w:rPr>
              <w:t>3</w:t>
            </w:r>
            <w:r>
              <w:rPr>
                <w:rFonts w:hint="eastAsia" w:ascii="Times New Roman" w:hAnsi="Times New Roman" w:cs="Times New Roman"/>
                <w:color w:val="auto"/>
                <w:sz w:val="21"/>
                <w:szCs w:val="21"/>
                <w:lang w:val="en-US" w:eastAsia="zh-CN"/>
              </w:rPr>
              <w:t>%</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w:t>
            </w:r>
            <w:r>
              <w:rPr>
                <w:rFonts w:hint="eastAsia" w:cs="Times New Roman"/>
                <w:color w:val="auto"/>
                <w:sz w:val="21"/>
                <w:szCs w:val="21"/>
                <w:lang w:val="en-US" w:eastAsia="zh-CN"/>
              </w:rPr>
              <w:t>2</w:t>
            </w:r>
            <w:r>
              <w:rPr>
                <w:rFonts w:hint="eastAsia" w:ascii="Times New Roman" w:hAnsi="Times New Roman" w:cs="Times New Roman"/>
                <w:color w:val="auto"/>
                <w:sz w:val="21"/>
                <w:szCs w:val="21"/>
                <w:lang w:val="en-US" w:eastAsia="zh-CN"/>
              </w:rPr>
              <w:t>）测量范围：</w:t>
            </w:r>
            <w:r>
              <w:rPr>
                <w:rFonts w:hint="eastAsia" w:cs="Times New Roman"/>
                <w:color w:val="auto"/>
                <w:sz w:val="21"/>
                <w:szCs w:val="21"/>
                <w:lang w:val="en-US" w:eastAsia="zh-CN"/>
              </w:rPr>
              <w:t>100μH</w:t>
            </w:r>
            <w:r>
              <w:rPr>
                <w:rFonts w:hint="eastAsia" w:ascii="Times New Roman" w:hAnsi="Times New Roman" w:cs="Times New Roman"/>
                <w:color w:val="auto"/>
                <w:sz w:val="21"/>
                <w:szCs w:val="21"/>
                <w:lang w:val="en-US" w:eastAsia="zh-CN"/>
              </w:rPr>
              <w:t>-10</w:t>
            </w:r>
            <w:r>
              <w:rPr>
                <w:rFonts w:hint="eastAsia" w:cs="Times New Roman"/>
                <w:color w:val="auto"/>
                <w:sz w:val="21"/>
                <w:szCs w:val="21"/>
                <w:lang w:val="en-US" w:eastAsia="zh-CN"/>
              </w:rPr>
              <w:t>H</w:t>
            </w:r>
          </w:p>
        </w:tc>
        <w:tc>
          <w:tcPr>
            <w:tcW w:w="2767" w:type="dxa"/>
            <w:shd w:val="clear" w:color="auto" w:fill="auto"/>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cs="Times New Roman"/>
                <w:color w:val="auto"/>
                <w:sz w:val="21"/>
                <w:szCs w:val="21"/>
                <w:lang w:val="en-US" w:eastAsia="zh-CN"/>
              </w:rPr>
            </w:pPr>
            <w:r>
              <w:rPr>
                <w:rFonts w:hint="eastAsia" w:cs="Times New Roman"/>
                <w:color w:val="auto"/>
                <w:sz w:val="21"/>
                <w:szCs w:val="21"/>
                <w:lang w:val="en-US" w:eastAsia="zh-CN"/>
              </w:rPr>
              <w:t>功能、测量精度满足检修试验规程要求。</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cs="Times New Roman"/>
                <w:color w:val="auto"/>
                <w:sz w:val="21"/>
                <w:szCs w:val="21"/>
                <w:lang w:val="en-US" w:eastAsia="zh-CN"/>
              </w:rPr>
            </w:pPr>
            <w:r>
              <w:rPr>
                <w:rFonts w:hint="eastAsia" w:cs="Times New Roman"/>
                <w:color w:val="auto"/>
                <w:sz w:val="21"/>
                <w:szCs w:val="21"/>
                <w:lang w:val="en-US" w:eastAsia="zh-CN"/>
              </w:rPr>
              <w:t>（1）测量精度：±2%</w:t>
            </w:r>
          </w:p>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left"/>
              <w:rPr>
                <w:rFonts w:hint="eastAsia" w:cs="Times New Roman"/>
                <w:color w:val="auto"/>
                <w:sz w:val="21"/>
                <w:szCs w:val="21"/>
                <w:lang w:val="en-US" w:eastAsia="zh-CN"/>
              </w:rPr>
            </w:pPr>
            <w:r>
              <w:rPr>
                <w:rFonts w:hint="eastAsia" w:cs="Times New Roman"/>
                <w:color w:val="auto"/>
                <w:sz w:val="21"/>
                <w:szCs w:val="21"/>
                <w:lang w:val="en-US" w:eastAsia="zh-CN"/>
              </w:rPr>
              <w:t>（2）测量范围：1mH～10H</w:t>
            </w:r>
          </w:p>
        </w:tc>
      </w:tr>
    </w:tbl>
    <w:p>
      <w:pPr>
        <w:spacing w:line="360" w:lineRule="auto"/>
        <w:ind w:firstLine="420" w:firstLineChars="0"/>
        <w:rPr>
          <w:rFonts w:hint="eastAsia" w:ascii="宋体" w:hAnsi="宋体" w:eastAsia="宋体" w:cs="宋体"/>
          <w:b/>
          <w:bCs/>
          <w:sz w:val="24"/>
          <w:szCs w:val="24"/>
          <w:lang w:eastAsia="zh-CN"/>
        </w:rPr>
      </w:pPr>
    </w:p>
    <w:p>
      <w:pPr>
        <w:spacing w:line="360" w:lineRule="auto"/>
        <w:ind w:firstLine="420" w:firstLineChars="0"/>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w:t>
      </w:r>
      <w:r>
        <w:rPr>
          <w:rFonts w:hint="eastAsia" w:ascii="宋体" w:hAnsi="宋体" w:eastAsia="宋体" w:cs="宋体"/>
          <w:b/>
          <w:bCs/>
          <w:sz w:val="24"/>
          <w:szCs w:val="24"/>
        </w:rPr>
        <w:t>挂网试运行情况</w:t>
      </w:r>
    </w:p>
    <w:p>
      <w:pPr>
        <w:pStyle w:val="133"/>
        <w:spacing w:line="360" w:lineRule="auto"/>
        <w:ind w:firstLine="480" w:firstLineChars="200"/>
        <w:rPr>
          <w:rFonts w:hint="eastAsia" w:ascii="Times New Roman" w:hAnsi="Times New Roman" w:eastAsia="宋体" w:cs="Times New Roman"/>
          <w:color w:val="auto"/>
          <w:kern w:val="2"/>
          <w:sz w:val="24"/>
          <w:highlight w:val="none"/>
          <w:lang w:val="en-US" w:eastAsia="zh-CN"/>
        </w:rPr>
      </w:pPr>
      <w:r>
        <w:rPr>
          <w:rFonts w:hint="eastAsia" w:ascii="Times New Roman" w:hAnsi="Times New Roman" w:eastAsia="宋体" w:cs="Times New Roman"/>
          <w:i/>
          <w:iCs/>
          <w:color w:val="auto"/>
          <w:kern w:val="2"/>
          <w:sz w:val="24"/>
          <w:highlight w:val="yellow"/>
          <w:lang w:val="en-US" w:eastAsia="zh-CN"/>
        </w:rPr>
        <w:t>（介绍新技术产品挂网试运行情况（挂网时间、地点、数量等），重点介绍挂网成效及挂网期间对产品性能的考验和装置本身故障、缺陷、风险隐患情况等）</w:t>
      </w:r>
    </w:p>
    <w:p>
      <w:pPr>
        <w:pStyle w:val="133"/>
        <w:spacing w:line="360" w:lineRule="auto"/>
        <w:ind w:firstLine="480" w:firstLineChars="200"/>
        <w:rPr>
          <w:rFonts w:hint="default" w:eastAsia="宋体" w:asciiTheme="minorHAnsi" w:hAnsiTheme="minorHAnsi" w:cstheme="minorBidi"/>
          <w:kern w:val="2"/>
          <w:sz w:val="21"/>
          <w:szCs w:val="21"/>
          <w:highlight w:val="none"/>
          <w:lang w:val="en-US" w:eastAsia="zh-CN" w:bidi="ar-SA"/>
        </w:rPr>
      </w:pPr>
      <w:r>
        <w:rPr>
          <w:rFonts w:hint="eastAsia" w:ascii="Times New Roman" w:hAnsi="Times New Roman" w:eastAsia="宋体" w:cs="Times New Roman"/>
          <w:color w:val="auto"/>
          <w:kern w:val="2"/>
          <w:sz w:val="24"/>
          <w:highlight w:val="none"/>
          <w:lang w:val="en-US" w:eastAsia="zh-CN"/>
        </w:rPr>
        <w:t>2020年3月起，多通道无线电容电感测试仪已在珠海供电局试验班组开展试应用。累计应用了2套装置，开展了20次电容器组测试工作，2次电抗器测试工作，测试结果满足《电力设备检修试验规程》规定。挂网试运行期间，该装置未出现设备故障、设备缺陷。</w:t>
      </w:r>
    </w:p>
    <w:p>
      <w:pPr>
        <w:spacing w:line="360" w:lineRule="auto"/>
        <w:ind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）技术</w:t>
      </w:r>
      <w:r>
        <w:rPr>
          <w:rFonts w:hint="eastAsia" w:ascii="宋体" w:hAnsi="宋体" w:eastAsia="宋体" w:cs="宋体"/>
          <w:b/>
          <w:bCs/>
          <w:sz w:val="24"/>
          <w:szCs w:val="24"/>
          <w:lang w:val="en-US" w:eastAsia="zh-CN"/>
        </w:rPr>
        <w:t>特点</w:t>
      </w:r>
    </w:p>
    <w:p>
      <w:pPr>
        <w:pStyle w:val="133"/>
        <w:spacing w:line="360" w:lineRule="auto"/>
        <w:ind w:firstLine="480" w:firstLineChars="200"/>
        <w:rPr>
          <w:rFonts w:hint="default" w:ascii="Times New Roman" w:hAnsi="Times New Roman" w:eastAsia="宋体" w:cs="Times New Roman"/>
          <w:color w:val="auto"/>
          <w:kern w:val="2"/>
          <w:sz w:val="24"/>
          <w:lang w:val="en-US" w:eastAsia="zh-CN"/>
        </w:rPr>
      </w:pPr>
      <w:r>
        <w:rPr>
          <w:rFonts w:hint="eastAsia" w:ascii="Times New Roman" w:hAnsi="Times New Roman" w:eastAsia="宋体" w:cs="Times New Roman"/>
          <w:i/>
          <w:iCs/>
          <w:color w:val="auto"/>
          <w:kern w:val="2"/>
          <w:sz w:val="24"/>
          <w:highlight w:val="yellow"/>
          <w:lang w:val="en-US" w:eastAsia="zh-CN"/>
        </w:rPr>
        <w:t>（简要介绍技术特点，重点突出功能、成效的先进性，讲实质性的内容。列出主要的技术指标、参数。）</w:t>
      </w:r>
    </w:p>
    <w:p>
      <w:pPr>
        <w:pStyle w:val="133"/>
        <w:spacing w:line="360" w:lineRule="auto"/>
        <w:ind w:firstLine="480" w:firstLineChars="200"/>
        <w:rPr>
          <w:rFonts w:hint="default" w:ascii="Times New Roman" w:hAnsi="Times New Roman" w:eastAsia="宋体" w:cs="Times New Roman"/>
          <w:color w:val="auto"/>
          <w:kern w:val="2"/>
          <w:sz w:val="24"/>
          <w:lang w:val="en-US" w:eastAsia="zh-CN"/>
        </w:rPr>
      </w:pPr>
      <w:r>
        <w:rPr>
          <w:rFonts w:hint="default" w:ascii="Times New Roman" w:hAnsi="Times New Roman" w:eastAsia="宋体" w:cs="Times New Roman"/>
          <w:color w:val="auto"/>
          <w:kern w:val="2"/>
          <w:sz w:val="24"/>
          <w:lang w:val="en-US" w:eastAsia="zh-CN"/>
        </w:rPr>
        <w:t>产品</w:t>
      </w:r>
      <w:r>
        <w:rPr>
          <w:rFonts w:hint="eastAsia" w:ascii="Times New Roman" w:hAnsi="Times New Roman" w:eastAsia="宋体" w:cs="Times New Roman"/>
          <w:color w:val="auto"/>
          <w:kern w:val="2"/>
          <w:sz w:val="24"/>
          <w:lang w:val="en-US" w:eastAsia="zh-CN"/>
        </w:rPr>
        <w:t>特点</w:t>
      </w:r>
      <w:r>
        <w:rPr>
          <w:rFonts w:hint="default" w:ascii="Times New Roman" w:hAnsi="Times New Roman" w:eastAsia="宋体" w:cs="Times New Roman"/>
          <w:color w:val="auto"/>
          <w:kern w:val="2"/>
          <w:sz w:val="24"/>
          <w:lang w:val="en-US" w:eastAsia="zh-CN"/>
        </w:rPr>
        <w:t>主要有：</w:t>
      </w:r>
    </w:p>
    <w:p>
      <w:pPr>
        <w:pStyle w:val="133"/>
        <w:spacing w:line="360" w:lineRule="auto"/>
        <w:ind w:firstLine="480" w:firstLineChars="200"/>
        <w:rPr>
          <w:rFonts w:hint="default"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（1）具有6个测量通道，可同时对6个电容器进行测试，电流钳与主机之间无连接电缆，实现无线化测试。</w:t>
      </w:r>
    </w:p>
    <w:p>
      <w:pPr>
        <w:pStyle w:val="133"/>
        <w:spacing w:line="360" w:lineRule="auto"/>
        <w:ind w:firstLine="480" w:firstLineChars="200"/>
        <w:rPr>
          <w:rFonts w:hint="default"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（2）配置免登高作业测试操作绝缘杆工具，以及无线传输电流钳，在测量过程中无需登高作业安装电流钳；</w:t>
      </w:r>
    </w:p>
    <w:p>
      <w:pPr>
        <w:pStyle w:val="133"/>
        <w:spacing w:line="360" w:lineRule="auto"/>
        <w:ind w:firstLine="480" w:firstLineChars="200"/>
        <w:rPr>
          <w:rFonts w:hint="default"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（3）配置剩余电荷可视化验电放电装置，在放电过程中可实时显示剩余电荷；</w:t>
      </w:r>
    </w:p>
    <w:p>
      <w:pPr>
        <w:pStyle w:val="133"/>
        <w:spacing w:line="360" w:lineRule="auto"/>
        <w:ind w:firstLine="480" w:firstLineChars="200"/>
        <w:rPr>
          <w:rFonts w:hint="default" w:ascii="Times New Roman" w:hAnsi="Times New Roman" w:eastAsia="宋体" w:cs="Times New Roman"/>
          <w:color w:val="auto"/>
          <w:kern w:val="2"/>
          <w:sz w:val="24"/>
          <w:highlight w:val="none"/>
          <w:lang w:val="en-US" w:eastAsia="zh-CN"/>
        </w:rPr>
      </w:pPr>
      <w:r>
        <w:rPr>
          <w:rFonts w:hint="eastAsia" w:ascii="Times New Roman" w:hAnsi="Times New Roman" w:eastAsia="宋体" w:cs="Times New Roman"/>
          <w:color w:val="auto"/>
          <w:kern w:val="2"/>
          <w:sz w:val="24"/>
          <w:highlight w:val="none"/>
          <w:lang w:val="en-US" w:eastAsia="zh-CN"/>
        </w:rPr>
        <w:t>（4）数据记录分析功能，在测试过程中可自动计算测量值，并计算与额定值、出厂标称值偏差，输出报表。</w:t>
      </w:r>
    </w:p>
    <w:p>
      <w:pPr>
        <w:widowControl w:val="0"/>
        <w:spacing w:line="360" w:lineRule="auto"/>
        <w:ind w:firstLine="0" w:firstLineChars="0"/>
        <w:jc w:val="center"/>
        <w:rPr>
          <w:rFonts w:hint="default"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kern w:val="2"/>
          <w:sz w:val="21"/>
          <w:szCs w:val="21"/>
          <w:lang w:val="en-US" w:eastAsia="zh-CN" w:bidi="ar-SA"/>
        </w:rPr>
        <w:t>表</w:t>
      </w:r>
      <w:r>
        <w:rPr>
          <w:rFonts w:hint="eastAsia" w:asciiTheme="minorEastAsia" w:hAnsiTheme="minorEastAsia" w:eastAsiaTheme="minorEastAsia" w:cstheme="minorEastAsia"/>
          <w:kern w:val="2"/>
          <w:sz w:val="21"/>
          <w:szCs w:val="21"/>
          <w:lang w:val="en-US" w:eastAsia="zh-CN" w:bidi="ar-SA"/>
        </w:rPr>
        <w:t>1</w:t>
      </w:r>
      <w:r>
        <w:rPr>
          <w:rFonts w:hint="default" w:asciiTheme="minorEastAsia" w:hAnsiTheme="minorEastAsia" w:eastAsiaTheme="minorEastAsia" w:cstheme="minorEastAsia"/>
          <w:kern w:val="2"/>
          <w:sz w:val="21"/>
          <w:szCs w:val="21"/>
          <w:lang w:val="en-US" w:eastAsia="zh-CN" w:bidi="ar-SA"/>
        </w:rPr>
        <w:t>-</w:t>
      </w:r>
      <w:r>
        <w:rPr>
          <w:rFonts w:hint="eastAsia" w:asciiTheme="minorEastAsia" w:hAnsiTheme="minorEastAsia" w:eastAsiaTheme="minorEastAsia" w:cstheme="minorEastAsia"/>
          <w:kern w:val="2"/>
          <w:sz w:val="21"/>
          <w:szCs w:val="21"/>
          <w:lang w:val="en-US" w:eastAsia="zh-CN" w:bidi="ar-SA"/>
        </w:rPr>
        <w:t>2</w:t>
      </w:r>
      <w:r>
        <w:rPr>
          <w:rFonts w:hint="default" w:asciiTheme="minorEastAsia" w:hAnsiTheme="minorEastAsia" w:eastAsiaTheme="minorEastAsia" w:cstheme="minorEastAsia"/>
          <w:kern w:val="2"/>
          <w:sz w:val="21"/>
          <w:szCs w:val="21"/>
          <w:lang w:val="en-US" w:eastAsia="zh-CN" w:bidi="ar-SA"/>
        </w:rPr>
        <w:t xml:space="preserve"> </w:t>
      </w:r>
      <w:r>
        <w:rPr>
          <w:rFonts w:hint="eastAsia" w:asciiTheme="minorEastAsia" w:hAnsiTheme="minorEastAsia" w:eastAsiaTheme="minorEastAsia" w:cstheme="minorEastAsia"/>
          <w:kern w:val="2"/>
          <w:sz w:val="21"/>
          <w:szCs w:val="21"/>
          <w:lang w:val="en-US" w:eastAsia="zh-CN" w:bidi="ar-SA"/>
        </w:rPr>
        <w:t>多通道无线电容电感测试分析仪</w:t>
      </w:r>
      <w:r>
        <w:rPr>
          <w:rFonts w:hint="default" w:asciiTheme="minorEastAsia" w:hAnsiTheme="minorEastAsia" w:eastAsiaTheme="minorEastAsia" w:cstheme="minorEastAsia"/>
          <w:kern w:val="2"/>
          <w:sz w:val="21"/>
          <w:szCs w:val="21"/>
          <w:lang w:val="en-US" w:eastAsia="zh-CN" w:bidi="ar-SA"/>
        </w:rPr>
        <w:t>技术指标</w:t>
      </w:r>
    </w:p>
    <w:tbl>
      <w:tblPr>
        <w:tblStyle w:val="32"/>
        <w:tblW w:w="45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2134"/>
        <w:gridCol w:w="5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序号</w:t>
            </w:r>
          </w:p>
        </w:tc>
        <w:tc>
          <w:tcPr>
            <w:tcW w:w="1273"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技术指标</w:t>
            </w:r>
          </w:p>
        </w:tc>
        <w:tc>
          <w:tcPr>
            <w:tcW w:w="3006"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1</w:t>
            </w:r>
          </w:p>
        </w:tc>
        <w:tc>
          <w:tcPr>
            <w:tcW w:w="1273"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电容测量范围</w:t>
            </w:r>
          </w:p>
        </w:tc>
        <w:tc>
          <w:tcPr>
            <w:tcW w:w="3006"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1μF～2000μF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w:t>
            </w:r>
          </w:p>
        </w:tc>
        <w:tc>
          <w:tcPr>
            <w:tcW w:w="1273"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电容测量精度</w:t>
            </w:r>
          </w:p>
        </w:tc>
        <w:tc>
          <w:tcPr>
            <w:tcW w:w="3006"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±（读数×1% +0.005μF）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kern w:val="2"/>
                <w:sz w:val="21"/>
                <w:szCs w:val="21"/>
                <w:lang w:val="en-US" w:eastAsia="zh-CN" w:bidi="ar-SA"/>
              </w:rPr>
            </w:pPr>
            <w:r>
              <w:rPr>
                <w:rFonts w:hint="eastAsia" w:eastAsia="宋体" w:cs="Times New Roman"/>
                <w:sz w:val="21"/>
                <w:szCs w:val="21"/>
                <w:lang w:val="en-US" w:eastAsia="zh-CN"/>
              </w:rPr>
              <w:t>3</w:t>
            </w:r>
          </w:p>
        </w:tc>
        <w:tc>
          <w:tcPr>
            <w:tcW w:w="1273"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分辨率</w:t>
            </w:r>
          </w:p>
        </w:tc>
        <w:tc>
          <w:tcPr>
            <w:tcW w:w="3006"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0.001μF（四位有效数字）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default" w:ascii="Times New Roman" w:hAnsi="Times New Roman" w:eastAsia="宋体" w:cs="Times New Roman"/>
                <w:kern w:val="2"/>
                <w:sz w:val="21"/>
                <w:szCs w:val="21"/>
                <w:lang w:val="en-US" w:eastAsia="zh-CN" w:bidi="ar-SA"/>
              </w:rPr>
            </w:pPr>
            <w:r>
              <w:rPr>
                <w:rFonts w:hint="eastAsia" w:eastAsia="宋体" w:cs="Times New Roman"/>
                <w:kern w:val="2"/>
                <w:sz w:val="21"/>
                <w:szCs w:val="21"/>
                <w:lang w:val="en-US" w:eastAsia="zh-CN" w:bidi="ar-SA"/>
              </w:rPr>
              <w:t>4</w:t>
            </w:r>
          </w:p>
        </w:tc>
        <w:tc>
          <w:tcPr>
            <w:tcW w:w="1273"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电感测量范围</w:t>
            </w:r>
          </w:p>
        </w:tc>
        <w:tc>
          <w:tcPr>
            <w:tcW w:w="3006"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1mH～10H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kern w:val="2"/>
                <w:sz w:val="21"/>
                <w:szCs w:val="21"/>
                <w:lang w:val="en-US" w:eastAsia="zh-CN" w:bidi="ar-SA"/>
              </w:rPr>
            </w:pPr>
            <w:r>
              <w:rPr>
                <w:rFonts w:hint="eastAsia" w:eastAsia="宋体" w:cs="Times New Roman"/>
                <w:sz w:val="21"/>
                <w:szCs w:val="21"/>
                <w:lang w:val="en-US" w:eastAsia="zh-CN"/>
              </w:rPr>
              <w:t>5</w:t>
            </w:r>
          </w:p>
        </w:tc>
        <w:tc>
          <w:tcPr>
            <w:tcW w:w="1273"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电感测量精度</w:t>
            </w:r>
          </w:p>
        </w:tc>
        <w:tc>
          <w:tcPr>
            <w:tcW w:w="3006"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±读数×2%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kern w:val="2"/>
                <w:sz w:val="21"/>
                <w:szCs w:val="21"/>
                <w:lang w:val="en-US" w:eastAsia="zh-CN" w:bidi="ar-SA"/>
              </w:rPr>
            </w:pPr>
            <w:r>
              <w:rPr>
                <w:rFonts w:hint="eastAsia" w:eastAsia="宋体" w:cs="Times New Roman"/>
                <w:sz w:val="21"/>
                <w:szCs w:val="21"/>
                <w:lang w:val="en-US" w:eastAsia="zh-CN"/>
              </w:rPr>
              <w:t>6</w:t>
            </w:r>
          </w:p>
        </w:tc>
        <w:tc>
          <w:tcPr>
            <w:tcW w:w="1273"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电压测量范围</w:t>
            </w:r>
          </w:p>
        </w:tc>
        <w:tc>
          <w:tcPr>
            <w:tcW w:w="3006"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AC 0V～30V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kern w:val="2"/>
                <w:sz w:val="21"/>
                <w:szCs w:val="21"/>
                <w:lang w:val="en-US" w:eastAsia="zh-CN" w:bidi="ar-SA"/>
              </w:rPr>
            </w:pPr>
            <w:r>
              <w:rPr>
                <w:rFonts w:hint="eastAsia" w:eastAsia="宋体" w:cs="Times New Roman"/>
                <w:sz w:val="21"/>
                <w:szCs w:val="21"/>
                <w:lang w:val="en-US" w:eastAsia="zh-CN"/>
              </w:rPr>
              <w:t>7</w:t>
            </w:r>
          </w:p>
        </w:tc>
        <w:tc>
          <w:tcPr>
            <w:tcW w:w="1273"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同步方式</w:t>
            </w:r>
          </w:p>
        </w:tc>
        <w:tc>
          <w:tcPr>
            <w:tcW w:w="3006"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多频广播同步法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default" w:ascii="Times New Roman" w:hAnsi="Times New Roman" w:eastAsia="宋体" w:cs="Times New Roman"/>
                <w:sz w:val="21"/>
                <w:szCs w:val="21"/>
                <w:lang w:val="en-US" w:eastAsia="zh-CN"/>
              </w:rPr>
            </w:pPr>
            <w:r>
              <w:rPr>
                <w:rFonts w:hint="eastAsia" w:eastAsia="宋体" w:cs="Times New Roman"/>
                <w:sz w:val="21"/>
                <w:szCs w:val="21"/>
                <w:lang w:val="en-US" w:eastAsia="zh-CN"/>
              </w:rPr>
              <w:t>8</w:t>
            </w:r>
          </w:p>
        </w:tc>
        <w:tc>
          <w:tcPr>
            <w:tcW w:w="1273"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通讯距离</w:t>
            </w:r>
          </w:p>
        </w:tc>
        <w:tc>
          <w:tcPr>
            <w:tcW w:w="3006"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不小于100米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default" w:ascii="Times New Roman" w:hAnsi="Times New Roman" w:eastAsia="宋体" w:cs="Times New Roman"/>
                <w:sz w:val="21"/>
                <w:szCs w:val="21"/>
                <w:lang w:val="en-US" w:eastAsia="zh-CN"/>
              </w:rPr>
            </w:pPr>
            <w:r>
              <w:rPr>
                <w:rFonts w:hint="eastAsia" w:eastAsia="宋体" w:cs="Times New Roman"/>
                <w:sz w:val="21"/>
                <w:szCs w:val="21"/>
                <w:lang w:val="en-US" w:eastAsia="zh-CN"/>
              </w:rPr>
              <w:t>9</w:t>
            </w:r>
          </w:p>
        </w:tc>
        <w:tc>
          <w:tcPr>
            <w:tcW w:w="1273"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测量通道</w:t>
            </w:r>
          </w:p>
        </w:tc>
        <w:tc>
          <w:tcPr>
            <w:tcW w:w="3006"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1-6通道（可增加）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w:t>
            </w:r>
            <w:r>
              <w:rPr>
                <w:rFonts w:hint="eastAsia" w:cs="Times New Roman"/>
                <w:sz w:val="21"/>
                <w:szCs w:val="21"/>
                <w:lang w:val="en-US" w:eastAsia="zh-CN"/>
              </w:rPr>
              <w:t>0</w:t>
            </w:r>
          </w:p>
        </w:tc>
        <w:tc>
          <w:tcPr>
            <w:tcW w:w="1273"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测试模式</w:t>
            </w:r>
          </w:p>
        </w:tc>
        <w:tc>
          <w:tcPr>
            <w:tcW w:w="3006" w:type="pct"/>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无线测试模式、有线测试模式、多通道、单通道</w:t>
            </w:r>
          </w:p>
        </w:tc>
      </w:tr>
    </w:tbl>
    <w:p>
      <w:pPr>
        <w:spacing w:line="360" w:lineRule="auto"/>
        <w:ind w:firstLine="420" w:firstLineChars="0"/>
        <w:rPr>
          <w:rFonts w:hint="default" w:ascii="宋体" w:hAnsi="宋体" w:eastAsia="宋体" w:cs="宋体"/>
          <w:b/>
          <w:bCs/>
          <w:sz w:val="24"/>
          <w:szCs w:val="24"/>
          <w:lang w:val="en-US" w:eastAsia="zh-CN"/>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数字化程度</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i/>
          <w:iCs/>
          <w:color w:val="auto"/>
          <w:kern w:val="2"/>
          <w:sz w:val="24"/>
          <w:highlight w:val="yellow"/>
          <w:lang w:val="en-US" w:eastAsia="zh-CN"/>
        </w:rPr>
        <w:t>（是否具备数字化相关功能，如有数字化方面的先进性，可突出其对数字电网建设、提升数字化水平方面技术特色，相比现有设备的提升）</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多通道无线电容电感测试仪集成数据分析处理模块，在测试过程中可自动计算测量值，并计算与额定值、出厂标称值偏差，具备数字化测试结果报表生成与导出功能。</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）安全性评估</w:t>
      </w:r>
    </w:p>
    <w:p>
      <w:pPr>
        <w:pStyle w:val="133"/>
        <w:spacing w:line="360" w:lineRule="auto"/>
        <w:ind w:firstLine="480" w:firstLineChars="200"/>
        <w:rPr>
          <w:rFonts w:hint="eastAsia" w:ascii="Times New Roman" w:hAnsi="Times New Roman" w:eastAsia="宋体" w:cs="Times New Roman"/>
          <w:i/>
          <w:iCs/>
          <w:color w:val="auto"/>
          <w:kern w:val="2"/>
          <w:sz w:val="24"/>
          <w:highlight w:val="yellow"/>
          <w:lang w:val="en-US" w:eastAsia="zh-CN"/>
        </w:rPr>
      </w:pPr>
      <w:r>
        <w:rPr>
          <w:rFonts w:hint="eastAsia" w:ascii="Times New Roman" w:hAnsi="Times New Roman" w:eastAsia="宋体" w:cs="Times New Roman"/>
          <w:i/>
          <w:iCs/>
          <w:color w:val="auto"/>
          <w:kern w:val="2"/>
          <w:sz w:val="24"/>
          <w:highlight w:val="yellow"/>
          <w:lang w:val="en-US" w:eastAsia="zh-CN"/>
        </w:rPr>
        <w:t>（评估新技术产品安全性，包括对电网、主设备安全性提升方面，新技术产品本身应用过程中人身、设备、电网、网络等安全风险）</w:t>
      </w:r>
    </w:p>
    <w:p>
      <w:p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多通道无线</w:t>
      </w:r>
      <w:r>
        <w:rPr>
          <w:rFonts w:hint="eastAsia" w:asciiTheme="minorEastAsia" w:hAnsiTheme="minorEastAsia" w:eastAsiaTheme="minorEastAsia" w:cstheme="minorEastAsia"/>
          <w:sz w:val="24"/>
          <w:szCs w:val="24"/>
          <w:lang w:eastAsia="zh-CN"/>
        </w:rPr>
        <w:t>电容电感测试</w:t>
      </w:r>
      <w:r>
        <w:rPr>
          <w:rFonts w:hint="eastAsia" w:asciiTheme="minorEastAsia" w:hAnsiTheme="minorEastAsia" w:eastAsiaTheme="minorEastAsia" w:cstheme="minorEastAsia"/>
          <w:sz w:val="24"/>
          <w:szCs w:val="24"/>
        </w:rPr>
        <w:t>分析仪的挂风运行安全风险，将从人身、电网、设备、网络安全等方面对安全风险进行评估。</w:t>
      </w:r>
    </w:p>
    <w:p>
      <w:pPr>
        <w:numPr>
          <w:ilvl w:val="0"/>
          <w:numId w:val="6"/>
        </w:numPr>
        <w:spacing w:line="560" w:lineRule="exact"/>
        <w:ind w:firstLine="480" w:firstLineChars="200"/>
        <w:rPr>
          <w:rFonts w:eastAsia="宋体"/>
          <w:color w:val="000000"/>
          <w:sz w:val="24"/>
          <w:szCs w:val="24"/>
        </w:rPr>
      </w:pPr>
      <w:r>
        <w:rPr>
          <w:rFonts w:hint="eastAsia" w:asciiTheme="minorEastAsia" w:hAnsiTheme="minorEastAsia" w:eastAsiaTheme="minorEastAsia" w:cstheme="minorEastAsia"/>
          <w:sz w:val="24"/>
          <w:szCs w:val="24"/>
        </w:rPr>
        <w:t>人身风险分析及管控措施</w:t>
      </w:r>
    </w:p>
    <w:p>
      <w:pPr>
        <w:spacing w:line="360" w:lineRule="auto"/>
        <w:ind w:firstLine="480" w:firstLineChars="200"/>
        <w:rPr>
          <w:rFonts w:eastAsia="宋体"/>
          <w:sz w:val="24"/>
          <w:szCs w:val="22"/>
        </w:rPr>
      </w:pPr>
      <w:r>
        <w:rPr>
          <w:rFonts w:hint="eastAsia" w:eastAsia="宋体"/>
          <w:sz w:val="24"/>
          <w:szCs w:val="22"/>
        </w:rPr>
        <w:t>电容电感</w:t>
      </w:r>
      <w:r>
        <w:rPr>
          <w:rFonts w:hint="eastAsia"/>
          <w:sz w:val="24"/>
          <w:szCs w:val="22"/>
          <w:lang w:val="en-US" w:eastAsia="zh-CN"/>
        </w:rPr>
        <w:t>参数</w:t>
      </w:r>
      <w:r>
        <w:rPr>
          <w:rFonts w:hint="eastAsia" w:eastAsia="宋体"/>
          <w:sz w:val="24"/>
          <w:szCs w:val="22"/>
        </w:rPr>
        <w:t>测试作业中，存在的人身安全风险主要有剩余电荷触电风险、高处坠落及磕碰等人身安全风险。新产品配置剩余电荷可视化验电放电装置，</w:t>
      </w:r>
      <w:r>
        <w:rPr>
          <w:rFonts w:hint="eastAsia"/>
          <w:sz w:val="24"/>
          <w:szCs w:val="22"/>
          <w:lang w:val="en-US" w:eastAsia="zh-CN"/>
        </w:rPr>
        <w:t>具备</w:t>
      </w:r>
      <w:r>
        <w:rPr>
          <w:rFonts w:hint="eastAsia" w:eastAsia="宋体"/>
          <w:sz w:val="24"/>
          <w:szCs w:val="22"/>
        </w:rPr>
        <w:t>声光报警、剩余电压显示</w:t>
      </w:r>
      <w:r>
        <w:rPr>
          <w:rFonts w:hint="eastAsia"/>
          <w:sz w:val="24"/>
          <w:szCs w:val="22"/>
          <w:lang w:val="en-US" w:eastAsia="zh-CN"/>
        </w:rPr>
        <w:t>功能</w:t>
      </w:r>
      <w:r>
        <w:rPr>
          <w:rFonts w:hint="eastAsia" w:eastAsia="宋体"/>
          <w:sz w:val="24"/>
          <w:szCs w:val="22"/>
        </w:rPr>
        <w:t>；配置免登高作业测试操作绝缘杆工具，以及无线传输电流钳，在测量过程中无需登高作业安装电流钳。</w:t>
      </w:r>
    </w:p>
    <w:p>
      <w:pPr>
        <w:spacing w:line="360" w:lineRule="auto"/>
        <w:ind w:firstLine="480" w:firstLineChars="200"/>
        <w:rPr>
          <w:rFonts w:eastAsia="宋体"/>
          <w:sz w:val="21"/>
        </w:rPr>
      </w:pPr>
      <w:r>
        <w:rPr>
          <w:rFonts w:hint="eastAsia"/>
          <w:sz w:val="24"/>
          <w:szCs w:val="22"/>
          <w:lang w:val="en-US" w:eastAsia="zh-CN"/>
        </w:rPr>
        <w:t>新产品</w:t>
      </w:r>
      <w:r>
        <w:rPr>
          <w:rFonts w:hint="eastAsia" w:eastAsia="宋体"/>
          <w:sz w:val="24"/>
          <w:szCs w:val="22"/>
        </w:rPr>
        <w:t>设置有外壳接地柱</w:t>
      </w:r>
      <w:r>
        <w:rPr>
          <w:rFonts w:hint="eastAsia"/>
          <w:sz w:val="24"/>
          <w:szCs w:val="22"/>
          <w:lang w:eastAsia="zh-CN"/>
        </w:rPr>
        <w:t>，</w:t>
      </w:r>
      <w:r>
        <w:rPr>
          <w:rFonts w:eastAsia="宋体"/>
          <w:sz w:val="24"/>
          <w:szCs w:val="22"/>
        </w:rPr>
        <w:t>且</w:t>
      </w:r>
      <w:r>
        <w:rPr>
          <w:rFonts w:hint="eastAsia" w:eastAsia="宋体"/>
          <w:sz w:val="24"/>
          <w:szCs w:val="22"/>
        </w:rPr>
        <w:t>采用内置24V电池</w:t>
      </w:r>
      <w:r>
        <w:rPr>
          <w:rFonts w:hint="eastAsia"/>
          <w:sz w:val="24"/>
          <w:szCs w:val="22"/>
          <w:lang w:val="en-US" w:eastAsia="zh-CN"/>
        </w:rPr>
        <w:t>或220V外接电源供电</w:t>
      </w:r>
      <w:r>
        <w:rPr>
          <w:rFonts w:hint="eastAsia" w:eastAsia="宋体"/>
          <w:sz w:val="24"/>
          <w:szCs w:val="22"/>
        </w:rPr>
        <w:t>，其输出逆变电压不超过30V。</w:t>
      </w:r>
    </w:p>
    <w:p>
      <w:pPr>
        <w:numPr>
          <w:ilvl w:val="0"/>
          <w:numId w:val="6"/>
        </w:num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电网安全分析及管控措施</w:t>
      </w:r>
    </w:p>
    <w:p>
      <w:pPr>
        <w:spacing w:line="360" w:lineRule="auto"/>
        <w:ind w:firstLine="480" w:firstLineChars="200"/>
        <w:rPr>
          <w:rFonts w:hint="default" w:eastAsia="宋体"/>
          <w:sz w:val="24"/>
          <w:szCs w:val="22"/>
          <w:lang w:val="en-US" w:eastAsia="zh-CN"/>
        </w:rPr>
      </w:pPr>
      <w:r>
        <w:rPr>
          <w:rFonts w:hint="eastAsia" w:eastAsia="宋体"/>
          <w:sz w:val="24"/>
          <w:szCs w:val="22"/>
        </w:rPr>
        <w:t>电容电感参数测试作业</w:t>
      </w:r>
      <w:r>
        <w:rPr>
          <w:rFonts w:hint="eastAsia"/>
          <w:sz w:val="24"/>
          <w:szCs w:val="22"/>
          <w:lang w:val="en-US" w:eastAsia="zh-CN"/>
        </w:rPr>
        <w:t>为</w:t>
      </w:r>
      <w:r>
        <w:rPr>
          <w:rFonts w:eastAsia="宋体"/>
          <w:sz w:val="24"/>
          <w:szCs w:val="22"/>
        </w:rPr>
        <w:t>停电试验</w:t>
      </w:r>
      <w:r>
        <w:rPr>
          <w:rFonts w:hint="eastAsia" w:eastAsia="宋体"/>
          <w:sz w:val="24"/>
          <w:szCs w:val="22"/>
        </w:rPr>
        <w:t>，</w:t>
      </w:r>
      <w:r>
        <w:rPr>
          <w:rFonts w:hint="eastAsia"/>
          <w:sz w:val="24"/>
          <w:szCs w:val="22"/>
          <w:lang w:val="en-US" w:eastAsia="zh-CN"/>
        </w:rPr>
        <w:t>在作业规定的安全区域内工作不会对电网安全造成风险。</w:t>
      </w:r>
    </w:p>
    <w:p>
      <w:pPr>
        <w:spacing w:line="360" w:lineRule="auto"/>
        <w:ind w:firstLine="480" w:firstLineChars="200"/>
        <w:rPr>
          <w:rFonts w:hint="default" w:eastAsia="宋体"/>
          <w:sz w:val="24"/>
          <w:szCs w:val="22"/>
          <w:lang w:val="en-US" w:eastAsia="zh-CN"/>
        </w:rPr>
      </w:pPr>
      <w:r>
        <w:rPr>
          <w:rFonts w:eastAsia="宋体"/>
          <w:sz w:val="24"/>
          <w:szCs w:val="22"/>
        </w:rPr>
        <w:t>装置</w:t>
      </w:r>
      <w:r>
        <w:rPr>
          <w:rFonts w:hint="eastAsia"/>
          <w:sz w:val="24"/>
          <w:szCs w:val="22"/>
          <w:lang w:val="en-US" w:eastAsia="zh-CN"/>
        </w:rPr>
        <w:t>测试精度满足规程要求，可以发现设备潜在缺陷问题，支撑电网设备安全运行。</w:t>
      </w:r>
    </w:p>
    <w:p>
      <w:pPr>
        <w:numPr>
          <w:ilvl w:val="0"/>
          <w:numId w:val="6"/>
        </w:num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设备安全分析及管控措施</w:t>
      </w:r>
    </w:p>
    <w:p>
      <w:pPr>
        <w:spacing w:line="360" w:lineRule="auto"/>
        <w:ind w:firstLine="480" w:firstLineChars="200"/>
        <w:rPr>
          <w:rFonts w:hint="eastAsia" w:asciiTheme="minorHAnsi" w:hAnsiTheme="minorHAnsi" w:eastAsiaTheme="minorEastAsia" w:cstheme="minorBidi"/>
          <w:b w:val="0"/>
          <w:bCs w:val="0"/>
          <w:color w:val="000000"/>
          <w:kern w:val="2"/>
          <w:sz w:val="24"/>
          <w:szCs w:val="24"/>
          <w:lang w:val="en-US" w:eastAsia="zh-CN" w:bidi="ar-SA"/>
        </w:rPr>
      </w:pPr>
      <w:bookmarkStart w:id="12" w:name="_Toc16081"/>
      <w:r>
        <w:rPr>
          <w:rFonts w:hint="eastAsia"/>
          <w:sz w:val="24"/>
          <w:szCs w:val="22"/>
          <w:lang w:val="en-US" w:eastAsia="zh-CN"/>
        </w:rPr>
        <w:t>新产品</w:t>
      </w:r>
      <w:r>
        <w:rPr>
          <w:rFonts w:hint="eastAsia" w:eastAsia="宋体"/>
          <w:sz w:val="24"/>
          <w:szCs w:val="22"/>
        </w:rPr>
        <w:t>输出逆变电压有效值不超过30V</w:t>
      </w:r>
      <w:r>
        <w:rPr>
          <w:rFonts w:eastAsia="宋体"/>
          <w:sz w:val="24"/>
          <w:szCs w:val="22"/>
        </w:rPr>
        <w:t>，电流有效值</w:t>
      </w:r>
      <w:r>
        <w:rPr>
          <w:rFonts w:hint="eastAsia" w:eastAsia="宋体"/>
          <w:sz w:val="24"/>
          <w:szCs w:val="22"/>
        </w:rPr>
        <w:t>不超过2</w:t>
      </w:r>
      <w:r>
        <w:rPr>
          <w:rFonts w:eastAsia="宋体"/>
          <w:sz w:val="24"/>
          <w:szCs w:val="22"/>
        </w:rPr>
        <w:t>A</w:t>
      </w:r>
      <w:r>
        <w:rPr>
          <w:rFonts w:hint="eastAsia" w:eastAsia="宋体"/>
          <w:sz w:val="24"/>
          <w:szCs w:val="22"/>
        </w:rPr>
        <w:t>，</w:t>
      </w:r>
      <w:r>
        <w:rPr>
          <w:rFonts w:hint="eastAsia"/>
          <w:sz w:val="24"/>
          <w:szCs w:val="22"/>
          <w:lang w:val="en-US" w:eastAsia="zh-CN"/>
        </w:rPr>
        <w:t>在运</w:t>
      </w:r>
      <w:r>
        <w:rPr>
          <w:rFonts w:eastAsia="宋体"/>
          <w:sz w:val="24"/>
          <w:szCs w:val="22"/>
        </w:rPr>
        <w:t>设备</w:t>
      </w:r>
      <w:r>
        <w:rPr>
          <w:rFonts w:hint="eastAsia"/>
          <w:sz w:val="24"/>
          <w:szCs w:val="22"/>
          <w:lang w:val="en-US" w:eastAsia="zh-CN"/>
        </w:rPr>
        <w:t>不存在</w:t>
      </w:r>
      <w:r>
        <w:rPr>
          <w:rFonts w:eastAsia="宋体"/>
          <w:sz w:val="24"/>
          <w:szCs w:val="22"/>
        </w:rPr>
        <w:t>高压击穿风险</w:t>
      </w:r>
      <w:r>
        <w:rPr>
          <w:rFonts w:hint="eastAsia" w:eastAsia="宋体"/>
          <w:sz w:val="24"/>
          <w:szCs w:val="22"/>
        </w:rPr>
        <w:t>。</w:t>
      </w:r>
    </w:p>
    <w:bookmarkEnd w:id="12"/>
    <w:p>
      <w:pPr>
        <w:numPr>
          <w:ilvl w:val="0"/>
          <w:numId w:val="6"/>
        </w:numPr>
        <w:spacing w:line="56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网络安全分析及管控措施</w:t>
      </w:r>
    </w:p>
    <w:p>
      <w:pPr>
        <w:spacing w:line="360" w:lineRule="auto"/>
        <w:ind w:firstLine="480" w:firstLineChars="200"/>
        <w:rPr>
          <w:rFonts w:eastAsia="宋体"/>
          <w:sz w:val="21"/>
          <w:szCs w:val="20"/>
        </w:rPr>
      </w:pPr>
      <w:r>
        <w:rPr>
          <w:rFonts w:hint="eastAsia"/>
          <w:sz w:val="24"/>
          <w:szCs w:val="22"/>
          <w:lang w:val="en-US" w:eastAsia="zh-CN"/>
        </w:rPr>
        <w:t>新产品测量数据为本机存储，不与信息系统交互</w:t>
      </w:r>
      <w:r>
        <w:rPr>
          <w:rFonts w:eastAsia="宋体"/>
          <w:sz w:val="24"/>
          <w:szCs w:val="22"/>
        </w:rPr>
        <w:t>。</w:t>
      </w:r>
    </w:p>
    <w:p>
      <w:pPr>
        <w:spacing w:line="360" w:lineRule="auto"/>
        <w:ind w:firstLine="0" w:firstLineChars="0"/>
        <w:jc w:val="center"/>
        <w:rPr>
          <w:rFonts w:eastAsia="宋体"/>
          <w:sz w:val="21"/>
          <w:szCs w:val="20"/>
        </w:rPr>
      </w:pPr>
      <w:r>
        <w:rPr>
          <w:rFonts w:hint="eastAsia" w:eastAsia="宋体"/>
          <w:sz w:val="21"/>
          <w:szCs w:val="20"/>
        </w:rPr>
        <w:t>表</w:t>
      </w:r>
      <w:r>
        <w:rPr>
          <w:rFonts w:hint="eastAsia" w:eastAsia="宋体"/>
          <w:sz w:val="21"/>
          <w:szCs w:val="20"/>
          <w:lang w:val="en-US" w:eastAsia="zh-CN"/>
        </w:rPr>
        <w:t>1-</w:t>
      </w:r>
      <w:r>
        <w:rPr>
          <w:rFonts w:hint="eastAsia"/>
          <w:sz w:val="21"/>
          <w:szCs w:val="20"/>
          <w:lang w:val="en-US" w:eastAsia="zh-CN"/>
        </w:rPr>
        <w:t>3</w:t>
      </w:r>
      <w:r>
        <w:rPr>
          <w:rFonts w:hint="eastAsia" w:eastAsia="宋体"/>
          <w:sz w:val="21"/>
          <w:szCs w:val="20"/>
        </w:rPr>
        <w:t>风险分析汇总表</w:t>
      </w:r>
    </w:p>
    <w:tbl>
      <w:tblPr>
        <w:tblStyle w:val="32"/>
        <w:tblW w:w="9071" w:type="dxa"/>
        <w:tblInd w:w="91" w:type="dxa"/>
        <w:tblLayout w:type="fixed"/>
        <w:tblCellMar>
          <w:top w:w="0" w:type="dxa"/>
          <w:left w:w="108" w:type="dxa"/>
          <w:bottom w:w="0" w:type="dxa"/>
          <w:right w:w="108" w:type="dxa"/>
        </w:tblCellMar>
      </w:tblPr>
      <w:tblGrid>
        <w:gridCol w:w="605"/>
        <w:gridCol w:w="1018"/>
        <w:gridCol w:w="2805"/>
        <w:gridCol w:w="3646"/>
        <w:gridCol w:w="997"/>
      </w:tblGrid>
      <w:tr>
        <w:tblPrEx>
          <w:tblCellMar>
            <w:top w:w="0" w:type="dxa"/>
            <w:left w:w="108" w:type="dxa"/>
            <w:bottom w:w="0" w:type="dxa"/>
            <w:right w:w="108" w:type="dxa"/>
          </w:tblCellMar>
        </w:tblPrEx>
        <w:trPr>
          <w:trHeight w:val="420" w:hRule="atLeast"/>
        </w:trPr>
        <w:tc>
          <w:tcPr>
            <w:tcW w:w="6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序号</w:t>
            </w:r>
          </w:p>
        </w:tc>
        <w:tc>
          <w:tcPr>
            <w:tcW w:w="10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风险类别</w:t>
            </w:r>
          </w:p>
        </w:tc>
        <w:tc>
          <w:tcPr>
            <w:tcW w:w="2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风险分析</w:t>
            </w:r>
          </w:p>
        </w:tc>
        <w:tc>
          <w:tcPr>
            <w:tcW w:w="364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控制措施</w:t>
            </w:r>
          </w:p>
        </w:tc>
        <w:tc>
          <w:tcPr>
            <w:tcW w:w="9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风险等级</w:t>
            </w:r>
          </w:p>
        </w:tc>
      </w:tr>
      <w:tr>
        <w:tblPrEx>
          <w:tblCellMar>
            <w:top w:w="0" w:type="dxa"/>
            <w:left w:w="108" w:type="dxa"/>
            <w:bottom w:w="0" w:type="dxa"/>
            <w:right w:w="108" w:type="dxa"/>
          </w:tblCellMar>
        </w:tblPrEx>
        <w:trPr>
          <w:trHeight w:val="420" w:hRule="atLeast"/>
        </w:trPr>
        <w:tc>
          <w:tcPr>
            <w:tcW w:w="6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w:t>
            </w:r>
          </w:p>
        </w:tc>
        <w:tc>
          <w:tcPr>
            <w:tcW w:w="101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w:t>
            </w:r>
          </w:p>
        </w:tc>
        <w:tc>
          <w:tcPr>
            <w:tcW w:w="2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无</w:t>
            </w:r>
          </w:p>
        </w:tc>
        <w:tc>
          <w:tcPr>
            <w:tcW w:w="364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w:t>
            </w:r>
          </w:p>
        </w:tc>
      </w:tr>
    </w:tbl>
    <w:p>
      <w:pPr>
        <w:pStyle w:val="5"/>
        <w:bidi w:val="0"/>
        <w:rPr>
          <w:lang w:val="en-US" w:eastAsia="zh-CN"/>
        </w:rPr>
      </w:pPr>
      <w:r>
        <w:rPr>
          <w:rFonts w:hint="eastAsia"/>
          <w:lang w:val="en-US" w:eastAsia="zh-CN"/>
        </w:rPr>
        <w:t>全生命周期标准情况</w:t>
      </w:r>
    </w:p>
    <w:p>
      <w:pPr>
        <w:pStyle w:val="133"/>
        <w:spacing w:line="360" w:lineRule="auto"/>
        <w:ind w:firstLine="480" w:firstLineChars="200"/>
        <w:rPr>
          <w:rFonts w:hint="eastAsia" w:ascii="Times New Roman" w:hAnsi="Times New Roman" w:eastAsia="宋体" w:cs="Times New Roman"/>
          <w:i/>
          <w:iCs/>
          <w:color w:val="auto"/>
          <w:kern w:val="2"/>
          <w:sz w:val="24"/>
          <w:highlight w:val="yellow"/>
          <w:lang w:val="en-US" w:eastAsia="zh-CN"/>
        </w:rPr>
      </w:pPr>
      <w:r>
        <w:rPr>
          <w:rFonts w:hint="eastAsia" w:ascii="Times New Roman" w:hAnsi="Times New Roman" w:eastAsia="宋体" w:cs="Times New Roman"/>
          <w:i/>
          <w:iCs/>
          <w:color w:val="auto"/>
          <w:kern w:val="2"/>
          <w:sz w:val="24"/>
          <w:highlight w:val="yellow"/>
          <w:lang w:val="en-US" w:eastAsia="zh-CN"/>
        </w:rPr>
        <w:t>（表格形式介绍新技术产品相关标准、技术规范，根据产品具体情况可包括技术标准、典型设计、技术规范书、运维规程、作业标准等）</w:t>
      </w:r>
    </w:p>
    <w:p>
      <w:pPr>
        <w:widowControl w:val="0"/>
        <w:spacing w:after="120" w:line="240" w:lineRule="auto"/>
        <w:ind w:firstLine="0" w:firstLineChars="0"/>
        <w:jc w:val="center"/>
        <w:rPr>
          <w:rFonts w:eastAsia="宋体" w:asciiTheme="minorHAnsi" w:hAnsiTheme="minorHAnsi" w:cstheme="minorBidi"/>
          <w:kern w:val="2"/>
          <w:sz w:val="24"/>
          <w:szCs w:val="22"/>
          <w:lang w:val="en-US" w:eastAsia="zh-CN" w:bidi="ar-SA"/>
        </w:rPr>
      </w:pPr>
      <w:r>
        <w:rPr>
          <w:rFonts w:ascii="Times New Roman" w:hAnsi="Times New Roman" w:eastAsia="宋体" w:cs="Times New Roman"/>
          <w:kern w:val="2"/>
          <w:sz w:val="21"/>
          <w:szCs w:val="20"/>
          <w:lang w:val="en-US" w:eastAsia="zh-CN" w:bidi="ar-SA"/>
        </w:rPr>
        <w:t>表</w:t>
      </w:r>
      <w:r>
        <w:rPr>
          <w:rFonts w:hint="eastAsia" w:ascii="Times New Roman" w:hAnsi="Times New Roman" w:eastAsia="宋体" w:cs="Times New Roman"/>
          <w:kern w:val="2"/>
          <w:sz w:val="21"/>
          <w:szCs w:val="20"/>
          <w:lang w:val="en-US" w:eastAsia="zh-CN" w:bidi="ar-SA"/>
        </w:rPr>
        <w:t>1-</w:t>
      </w:r>
      <w:r>
        <w:rPr>
          <w:rFonts w:hint="eastAsia" w:cs="Times New Roman"/>
          <w:kern w:val="2"/>
          <w:sz w:val="21"/>
          <w:szCs w:val="20"/>
          <w:lang w:val="en-US" w:eastAsia="zh-CN" w:bidi="ar-SA"/>
        </w:rPr>
        <w:t>4</w:t>
      </w:r>
      <w:r>
        <w:rPr>
          <w:rFonts w:hint="eastAsia" w:ascii="Times New Roman" w:hAnsi="Times New Roman" w:eastAsia="宋体" w:cs="Times New Roman"/>
          <w:kern w:val="2"/>
          <w:sz w:val="21"/>
          <w:szCs w:val="20"/>
          <w:lang w:val="en-US" w:eastAsia="zh-CN" w:bidi="ar-SA"/>
        </w:rPr>
        <w:t xml:space="preserve"> 新技术产品标准规范</w:t>
      </w:r>
    </w:p>
    <w:tbl>
      <w:tblPr>
        <w:tblStyle w:val="3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6559"/>
        <w:gridCol w:w="1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57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序号</w:t>
            </w:r>
          </w:p>
        </w:tc>
        <w:tc>
          <w:tcPr>
            <w:tcW w:w="353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标准</w:t>
            </w:r>
            <w:r>
              <w:rPr>
                <w:rFonts w:hint="default" w:ascii="Times New Roman" w:hAnsi="Times New Roman" w:cs="Times New Roman"/>
                <w:color w:val="auto"/>
                <w:sz w:val="21"/>
                <w:szCs w:val="21"/>
                <w:lang w:val="en-US" w:eastAsia="zh-CN"/>
              </w:rPr>
              <w:t>名称</w:t>
            </w:r>
          </w:p>
        </w:tc>
        <w:tc>
          <w:tcPr>
            <w:tcW w:w="896"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标准</w:t>
            </w:r>
            <w:r>
              <w:rPr>
                <w:rFonts w:hint="default" w:ascii="Times New Roman" w:hAnsi="Times New Roman" w:cs="Times New Roman"/>
                <w:color w:val="auto"/>
                <w:sz w:val="21"/>
                <w:szCs w:val="21"/>
                <w:lang w:val="en-US" w:eastAsia="zh-CN"/>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w:t>
            </w:r>
          </w:p>
        </w:tc>
        <w:tc>
          <w:tcPr>
            <w:tcW w:w="353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GBT6593-1996电子测量仪器质量检验规则标准</w:t>
            </w:r>
          </w:p>
        </w:tc>
        <w:tc>
          <w:tcPr>
            <w:tcW w:w="896"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国家标准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2</w:t>
            </w:r>
          </w:p>
        </w:tc>
        <w:tc>
          <w:tcPr>
            <w:tcW w:w="353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GB／T11024.1-2019标称电压1000V以上交流电力系统用并联电容器</w:t>
            </w:r>
          </w:p>
        </w:tc>
        <w:tc>
          <w:tcPr>
            <w:tcW w:w="896"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国家标准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3</w:t>
            </w:r>
          </w:p>
        </w:tc>
        <w:tc>
          <w:tcPr>
            <w:tcW w:w="353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T6587-2012电子测量仪器通用规范</w:t>
            </w:r>
          </w:p>
        </w:tc>
        <w:tc>
          <w:tcPr>
            <w:tcW w:w="896"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国家标准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4</w:t>
            </w:r>
          </w:p>
        </w:tc>
        <w:tc>
          <w:tcPr>
            <w:tcW w:w="353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DL/T 840-2016 高压并联电容器使用技术条件</w:t>
            </w:r>
          </w:p>
        </w:tc>
        <w:tc>
          <w:tcPr>
            <w:tcW w:w="896"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7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5</w:t>
            </w:r>
          </w:p>
        </w:tc>
        <w:tc>
          <w:tcPr>
            <w:tcW w:w="353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IECL-6800</w:t>
            </w:r>
            <w:r>
              <w:rPr>
                <w:rFonts w:hint="default" w:ascii="Times New Roman" w:hAnsi="Times New Roman" w:cs="Times New Roman"/>
                <w:color w:val="auto"/>
                <w:sz w:val="21"/>
                <w:szCs w:val="21"/>
                <w:lang w:val="en-US" w:eastAsia="zh-CN"/>
              </w:rPr>
              <w:t>多通道无线</w:t>
            </w:r>
            <w:r>
              <w:rPr>
                <w:rFonts w:hint="eastAsia" w:cs="Times New Roman"/>
                <w:color w:val="auto"/>
                <w:sz w:val="21"/>
                <w:szCs w:val="21"/>
                <w:lang w:val="en-US" w:eastAsia="zh-CN"/>
              </w:rPr>
              <w:t>电容电感测试</w:t>
            </w:r>
            <w:r>
              <w:rPr>
                <w:rFonts w:hint="default" w:ascii="Times New Roman" w:hAnsi="Times New Roman" w:cs="Times New Roman"/>
                <w:color w:val="auto"/>
                <w:sz w:val="21"/>
                <w:szCs w:val="21"/>
                <w:lang w:val="en-US" w:eastAsia="zh-CN"/>
              </w:rPr>
              <w:t>分析仪</w:t>
            </w:r>
            <w:r>
              <w:rPr>
                <w:rFonts w:hint="eastAsia" w:ascii="Times New Roman" w:hAnsi="Times New Roman" w:cs="Times New Roman"/>
                <w:color w:val="auto"/>
                <w:sz w:val="21"/>
                <w:szCs w:val="21"/>
                <w:lang w:val="en-US" w:eastAsia="zh-CN"/>
              </w:rPr>
              <w:t>技术规范书1.0</w:t>
            </w:r>
          </w:p>
        </w:tc>
        <w:tc>
          <w:tcPr>
            <w:tcW w:w="896"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技术规范书</w:t>
            </w:r>
          </w:p>
        </w:tc>
      </w:tr>
    </w:tbl>
    <w:p>
      <w:pPr>
        <w:pStyle w:val="5"/>
        <w:bidi w:val="0"/>
        <w:rPr>
          <w:lang w:val="en-US" w:eastAsia="zh-CN"/>
        </w:rPr>
      </w:pPr>
      <w:r>
        <w:rPr>
          <w:rFonts w:hint="eastAsia"/>
          <w:lang w:val="en-US" w:eastAsia="zh-CN"/>
        </w:rPr>
        <w:t>产品市场化程度</w:t>
      </w:r>
    </w:p>
    <w:p>
      <w:pPr>
        <w:spacing w:line="360" w:lineRule="auto"/>
        <w:ind w:firstLine="420" w:firstLineChars="0"/>
        <w:rPr>
          <w:rFonts w:ascii="宋体" w:hAnsi="宋体" w:eastAsia="宋体" w:cs="宋体"/>
          <w:b/>
          <w:bCs/>
          <w:sz w:val="24"/>
          <w:szCs w:val="24"/>
        </w:rPr>
      </w:pPr>
      <w:r>
        <w:rPr>
          <w:rFonts w:hint="eastAsia" w:ascii="宋体" w:hAnsi="宋体" w:eastAsia="宋体" w:cs="宋体"/>
          <w:b/>
          <w:bCs/>
          <w:sz w:val="24"/>
          <w:szCs w:val="24"/>
        </w:rPr>
        <w:t>（一）新产品鉴定、检验检测情况</w:t>
      </w:r>
    </w:p>
    <w:p>
      <w:pPr>
        <w:spacing w:line="360" w:lineRule="auto"/>
        <w:ind w:firstLine="480" w:firstLineChars="200"/>
        <w:rPr>
          <w:rFonts w:hint="eastAsia" w:ascii="Times New Roman" w:hAnsi="Times New Roman" w:eastAsia="宋体" w:cs="Times New Roman"/>
          <w:i/>
          <w:iCs/>
          <w:color w:val="auto"/>
          <w:kern w:val="2"/>
          <w:sz w:val="24"/>
          <w:highlight w:val="yellow"/>
          <w:lang w:val="en-US" w:eastAsia="zh-CN"/>
        </w:rPr>
      </w:pPr>
      <w:r>
        <w:rPr>
          <w:rFonts w:hint="eastAsia" w:ascii="Times New Roman" w:hAnsi="Times New Roman" w:eastAsia="宋体" w:cs="Times New Roman"/>
          <w:i/>
          <w:iCs/>
          <w:color w:val="auto"/>
          <w:kern w:val="2"/>
          <w:sz w:val="24"/>
          <w:highlight w:val="yellow"/>
          <w:lang w:val="en-US" w:eastAsia="zh-CN"/>
        </w:rPr>
        <w:t>介绍参与本次推广应用新技术产品型号，包括产品鉴定、检验检测情况。</w:t>
      </w:r>
    </w:p>
    <w:p>
      <w:pPr>
        <w:spacing w:line="360" w:lineRule="auto"/>
        <w:ind w:firstLine="480" w:firstLineChars="200"/>
        <w:rPr>
          <w:rFonts w:hint="eastAsia" w:eastAsia="宋体" w:cs="Times New Roman"/>
          <w:i/>
          <w:iCs/>
          <w:color w:val="auto"/>
          <w:kern w:val="2"/>
          <w:sz w:val="24"/>
          <w:highlight w:val="yellow"/>
          <w:lang w:val="en-US" w:eastAsia="zh-CN"/>
        </w:rPr>
      </w:pPr>
      <w:r>
        <w:rPr>
          <w:rFonts w:hint="eastAsia" w:eastAsia="宋体" w:cs="Times New Roman"/>
          <w:i/>
          <w:iCs/>
          <w:color w:val="auto"/>
          <w:kern w:val="2"/>
          <w:sz w:val="24"/>
          <w:highlight w:val="yellow"/>
          <w:lang w:val="en-US" w:eastAsia="zh-CN"/>
        </w:rPr>
        <w:t>新产品鉴定结论需说明企业生产能力相关内容。</w:t>
      </w:r>
    </w:p>
    <w:p>
      <w:pPr>
        <w:spacing w:line="360" w:lineRule="auto"/>
        <w:ind w:firstLine="480" w:firstLineChars="200"/>
        <w:rPr>
          <w:rFonts w:hint="default" w:eastAsia="宋体"/>
          <w:sz w:val="24"/>
          <w:szCs w:val="22"/>
          <w:lang w:val="en-US" w:eastAsia="zh-CN"/>
        </w:rPr>
      </w:pPr>
      <w:r>
        <w:rPr>
          <w:rFonts w:hint="eastAsia" w:eastAsia="宋体" w:cs="Times New Roman"/>
          <w:i/>
          <w:iCs/>
          <w:color w:val="auto"/>
          <w:kern w:val="2"/>
          <w:sz w:val="24"/>
          <w:highlight w:val="yellow"/>
          <w:lang w:val="en-US" w:eastAsia="zh-CN"/>
        </w:rPr>
        <w:t>检验检测需核实检测报告出具机构的资质。https://las.cnas.org.cn/LAS_FQ/publish/externalQueryL1.jsp，请在以上网址查询。（输入机构名称搜索，并点击“已正式公布的结构化能力范围”查询与该产品相关的认可检测能力范围）</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产品型号：IECL-6800多通道无线电容电感测试分析仪</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技术鉴定：广东省机械行业协会，粤机协技鉴字［2021］第076号。产品整体技术达到国内领先水平，同意通过技术鉴定，可以挂网试运行。</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检验检测：广东省珠海市质量计量监督检验所，测试校准，产品性能、精度满足技术要求。上海仪器仪表研究所机械工业电子仪器仪表产品质量检测中心进行型式试验：产品结构、功能、精确度、安全性等满足国家标准及技术规范的要求。</w:t>
      </w:r>
    </w:p>
    <w:p>
      <w:pPr>
        <w:widowControl w:val="0"/>
        <w:spacing w:after="120" w:line="240" w:lineRule="auto"/>
        <w:ind w:firstLine="0" w:firstLineChars="0"/>
        <w:jc w:val="both"/>
        <w:rPr>
          <w:rFonts w:hint="eastAsia" w:eastAsia="宋体" w:asciiTheme="minorHAnsi" w:hAnsiTheme="minorHAnsi" w:cstheme="minorBidi"/>
          <w:kern w:val="2"/>
          <w:sz w:val="21"/>
          <w:szCs w:val="21"/>
          <w:lang w:val="en-US" w:eastAsia="zh-CN" w:bidi="ar-SA"/>
        </w:rPr>
      </w:pPr>
    </w:p>
    <w:p>
      <w:pPr>
        <w:widowControl w:val="0"/>
        <w:spacing w:after="120" w:line="240" w:lineRule="auto"/>
        <w:ind w:firstLine="0" w:firstLineChars="0"/>
        <w:jc w:val="center"/>
        <w:rPr>
          <w:rFonts w:eastAsia="宋体" w:asciiTheme="minorHAnsi" w:hAnsiTheme="minorHAnsi" w:cstheme="minorBidi"/>
          <w:kern w:val="2"/>
          <w:sz w:val="21"/>
          <w:szCs w:val="21"/>
          <w:lang w:val="en-US" w:eastAsia="zh-CN" w:bidi="ar-SA"/>
        </w:rPr>
      </w:pPr>
      <w:r>
        <w:rPr>
          <w:rFonts w:eastAsia="宋体" w:asciiTheme="minorHAnsi" w:hAnsiTheme="minorHAnsi" w:cstheme="minorBidi"/>
          <w:kern w:val="2"/>
          <w:sz w:val="21"/>
          <w:szCs w:val="21"/>
          <w:lang w:val="en-US" w:eastAsia="zh-CN" w:bidi="ar-SA"/>
        </w:rPr>
        <w:drawing>
          <wp:inline distT="0" distB="0" distL="114300" distR="114300">
            <wp:extent cx="5538470" cy="2101215"/>
            <wp:effectExtent l="9525" t="9525" r="14605" b="22860"/>
            <wp:docPr id="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
                    <pic:cNvPicPr>
                      <a:picLocks noChangeAspect="1"/>
                    </pic:cNvPicPr>
                  </pic:nvPicPr>
                  <pic:blipFill>
                    <a:blip r:embed="rId20"/>
                    <a:stretch>
                      <a:fillRect/>
                    </a:stretch>
                  </pic:blipFill>
                  <pic:spPr>
                    <a:xfrm>
                      <a:off x="0" y="0"/>
                      <a:ext cx="5538470" cy="2101215"/>
                    </a:xfrm>
                    <a:prstGeom prst="rect">
                      <a:avLst/>
                    </a:prstGeom>
                    <a:noFill/>
                    <a:ln>
                      <a:solidFill>
                        <a:schemeClr val="tx1"/>
                      </a:solidFill>
                    </a:ln>
                  </pic:spPr>
                </pic:pic>
              </a:graphicData>
            </a:graphic>
          </wp:inline>
        </w:drawing>
      </w:r>
    </w:p>
    <w:p>
      <w:pPr>
        <w:widowControl w:val="0"/>
        <w:spacing w:after="120" w:line="240" w:lineRule="auto"/>
        <w:ind w:firstLine="0" w:firstLineChars="0"/>
        <w:jc w:val="center"/>
        <w:rPr>
          <w:rFonts w:hint="eastAsia" w:ascii="宋体" w:hAnsi="宋体" w:eastAsia="宋体" w:cs="宋体"/>
          <w:b/>
          <w:bCs/>
          <w:kern w:val="2"/>
          <w:sz w:val="24"/>
          <w:szCs w:val="24"/>
          <w:lang w:val="en-US" w:eastAsia="zh-CN" w:bidi="ar-SA"/>
        </w:rPr>
      </w:pPr>
      <w:r>
        <w:rPr>
          <w:rFonts w:hint="default" w:ascii="Times New Roman" w:hAnsi="Times New Roman" w:eastAsia="宋体" w:cs="Times New Roman"/>
          <w:color w:val="000000"/>
          <w:kern w:val="2"/>
          <w:sz w:val="21"/>
          <w:szCs w:val="21"/>
          <w:highlight w:val="none"/>
          <w:lang w:val="en-US" w:eastAsia="zh-CN" w:bidi="ar-SA"/>
        </w:rPr>
        <w:t>图</w:t>
      </w:r>
      <w:r>
        <w:rPr>
          <w:rFonts w:hint="eastAsia" w:eastAsia="宋体" w:cs="Times New Roman" w:asciiTheme="minorHAnsi" w:hAnsiTheme="minorHAnsi"/>
          <w:color w:val="000000"/>
          <w:kern w:val="2"/>
          <w:sz w:val="21"/>
          <w:szCs w:val="21"/>
          <w:highlight w:val="none"/>
          <w:lang w:val="en-US" w:eastAsia="zh-CN" w:bidi="ar-SA"/>
        </w:rPr>
        <w:t>1</w:t>
      </w:r>
      <w:r>
        <w:rPr>
          <w:rFonts w:hint="eastAsia" w:ascii="Times New Roman" w:hAnsi="Times New Roman" w:eastAsia="宋体" w:cs="Times New Roman"/>
          <w:color w:val="000000"/>
          <w:kern w:val="2"/>
          <w:sz w:val="21"/>
          <w:szCs w:val="21"/>
          <w:highlight w:val="none"/>
          <w:lang w:val="en-US" w:eastAsia="zh-CN" w:bidi="ar-SA"/>
        </w:rPr>
        <w:t>-</w:t>
      </w:r>
      <w:r>
        <w:rPr>
          <w:rFonts w:hint="eastAsia" w:eastAsia="宋体" w:cs="Times New Roman" w:asciiTheme="minorHAnsi" w:hAnsiTheme="minorHAnsi"/>
          <w:color w:val="000000"/>
          <w:kern w:val="2"/>
          <w:sz w:val="21"/>
          <w:szCs w:val="21"/>
          <w:highlight w:val="none"/>
          <w:lang w:val="en-US" w:eastAsia="zh-CN" w:bidi="ar-SA"/>
        </w:rPr>
        <w:t>2 检测机构资质认证</w:t>
      </w:r>
      <w:r>
        <w:rPr>
          <w:rFonts w:eastAsia="宋体" w:asciiTheme="minorHAnsi" w:hAnsiTheme="minorHAnsi" w:cstheme="minorBidi"/>
          <w:kern w:val="2"/>
          <w:sz w:val="21"/>
          <w:szCs w:val="21"/>
          <w:lang w:val="en-US" w:eastAsia="zh-CN" w:bidi="ar-SA"/>
        </w:rPr>
        <w:drawing>
          <wp:inline distT="0" distB="0" distL="114300" distR="114300">
            <wp:extent cx="4775200" cy="4670425"/>
            <wp:effectExtent l="9525" t="9525" r="15875" b="25400"/>
            <wp:docPr id="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
                    <pic:cNvPicPr>
                      <a:picLocks noChangeAspect="1"/>
                    </pic:cNvPicPr>
                  </pic:nvPicPr>
                  <pic:blipFill>
                    <a:blip r:embed="rId21"/>
                    <a:stretch>
                      <a:fillRect/>
                    </a:stretch>
                  </pic:blipFill>
                  <pic:spPr>
                    <a:xfrm>
                      <a:off x="0" y="0"/>
                      <a:ext cx="4775200" cy="4670425"/>
                    </a:xfrm>
                    <a:prstGeom prst="rect">
                      <a:avLst/>
                    </a:prstGeom>
                    <a:noFill/>
                    <a:ln>
                      <a:solidFill>
                        <a:schemeClr val="tx1"/>
                      </a:solid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center"/>
        <w:textAlignment w:val="auto"/>
        <w:outlineLvl w:val="9"/>
        <w:rPr>
          <w:rFonts w:hint="eastAsia" w:ascii="宋体" w:hAnsi="宋体" w:eastAsia="宋体" w:cs="宋体"/>
          <w:b/>
          <w:bCs/>
          <w:sz w:val="24"/>
          <w:szCs w:val="24"/>
        </w:rPr>
      </w:pPr>
      <w:r>
        <w:rPr>
          <w:rFonts w:hint="default" w:ascii="Times New Roman" w:hAnsi="Times New Roman" w:eastAsia="宋体" w:cs="Times New Roman"/>
          <w:color w:val="000000"/>
          <w:sz w:val="21"/>
          <w:szCs w:val="21"/>
          <w:highlight w:val="none"/>
          <w:lang w:val="en-US" w:eastAsia="zh-CN"/>
        </w:rPr>
        <w:t>图</w:t>
      </w:r>
      <w:r>
        <w:rPr>
          <w:rFonts w:hint="eastAsia" w:eastAsia="宋体" w:cs="Times New Roman"/>
          <w:color w:val="000000"/>
          <w:sz w:val="21"/>
          <w:szCs w:val="21"/>
          <w:highlight w:val="none"/>
          <w:lang w:val="en-US" w:eastAsia="zh-CN"/>
        </w:rPr>
        <w:t>1</w:t>
      </w:r>
      <w:r>
        <w:rPr>
          <w:rFonts w:hint="eastAsia" w:ascii="Times New Roman" w:hAnsi="Times New Roman" w:eastAsia="宋体" w:cs="Times New Roman"/>
          <w:color w:val="000000"/>
          <w:sz w:val="21"/>
          <w:szCs w:val="21"/>
          <w:highlight w:val="none"/>
          <w:lang w:val="en-US" w:eastAsia="zh-CN"/>
        </w:rPr>
        <w:t>-</w:t>
      </w:r>
      <w:r>
        <w:rPr>
          <w:rFonts w:hint="eastAsia" w:eastAsia="宋体" w:cs="Times New Roman"/>
          <w:color w:val="000000"/>
          <w:sz w:val="21"/>
          <w:szCs w:val="21"/>
          <w:highlight w:val="none"/>
          <w:lang w:val="en-US" w:eastAsia="zh-CN"/>
        </w:rPr>
        <w:t xml:space="preserve">3 </w:t>
      </w:r>
      <w:r>
        <w:rPr>
          <w:rFonts w:hint="eastAsia" w:ascii="Times New Roman" w:hAnsi="Times New Roman" w:eastAsia="宋体" w:cs="Times New Roman"/>
          <w:color w:val="000000"/>
          <w:sz w:val="21"/>
          <w:szCs w:val="21"/>
          <w:highlight w:val="none"/>
          <w:lang w:val="en-US" w:eastAsia="zh-CN"/>
        </w:rPr>
        <w:t>认可的检测能力范围</w:t>
      </w:r>
    </w:p>
    <w:p>
      <w:pPr>
        <w:spacing w:line="360" w:lineRule="auto"/>
        <w:ind w:firstLine="420" w:firstLineChars="0"/>
        <w:rPr>
          <w:rFonts w:hint="default" w:ascii="宋体" w:hAnsi="宋体" w:eastAsia="宋体" w:cs="宋体"/>
          <w:b/>
          <w:bCs/>
          <w:sz w:val="24"/>
          <w:szCs w:val="24"/>
          <w:lang w:val="en-US" w:eastAsia="zh-CN"/>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国内外同类竞品情况</w:t>
      </w:r>
    </w:p>
    <w:p>
      <w:pPr>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i/>
          <w:iCs/>
          <w:color w:val="auto"/>
          <w:kern w:val="2"/>
          <w:sz w:val="24"/>
          <w:highlight w:val="yellow"/>
          <w:lang w:val="en-US" w:eastAsia="zh-CN"/>
        </w:rPr>
        <w:t>目前市场上国内外同类竞品情况分析。</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目前测试电力电容器电容值的主要是免拆线的电容电感测试仪，同类产品特点：</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目前市场上无需拆线的自动电容电感测试仪大多只有1个通道，配置多通道的设备视通道配置数量售价有所提高。单通道设备一次只能对一个电容器单元进行测量，测量作业过程中，需要多次切换被测电容器。这类产品目前国内厂家一般功能配置的市场价在3.5-8万元不等，主流厂家如济南泛华AI-6600C售价约5万元左右，目前市场占有率在50%以上。进口的电容电感测试仪如ABB CB2000等品牌，一般售价15万元左右。</w:t>
      </w:r>
    </w:p>
    <w:p>
      <w:pPr>
        <w:pStyle w:val="133"/>
        <w:spacing w:line="360" w:lineRule="auto"/>
        <w:ind w:firstLine="480" w:firstLineChars="200"/>
        <w:rPr>
          <w:rFonts w:hint="default" w:ascii="Times New Roman" w:hAnsi="Times New Roman" w:eastAsia="宋体" w:cs="Times New Roman"/>
          <w:color w:val="auto"/>
          <w:kern w:val="2"/>
          <w:sz w:val="24"/>
          <w:lang w:val="en-US" w:eastAsia="zh-CN"/>
        </w:rPr>
      </w:pPr>
      <w:r>
        <w:rPr>
          <w:rFonts w:hint="default" w:ascii="Times New Roman" w:hAnsi="Times New Roman" w:eastAsia="宋体" w:cs="Times New Roman"/>
          <w:color w:val="auto"/>
          <w:kern w:val="2"/>
          <w:sz w:val="24"/>
          <w:lang w:val="en-US" w:eastAsia="zh-CN"/>
        </w:rPr>
        <w:t>将国内外具有代表性的</w:t>
      </w:r>
      <w:r>
        <w:rPr>
          <w:rFonts w:hint="eastAsia" w:ascii="Times New Roman" w:hAnsi="Times New Roman" w:eastAsia="宋体" w:cs="Times New Roman"/>
          <w:color w:val="auto"/>
          <w:kern w:val="2"/>
          <w:sz w:val="24"/>
          <w:lang w:val="en-US" w:eastAsia="zh-CN"/>
        </w:rPr>
        <w:t>测试仪</w:t>
      </w:r>
      <w:r>
        <w:rPr>
          <w:rFonts w:hint="default" w:ascii="Times New Roman" w:hAnsi="Times New Roman" w:eastAsia="宋体" w:cs="Times New Roman"/>
          <w:color w:val="auto"/>
          <w:kern w:val="2"/>
          <w:sz w:val="24"/>
          <w:lang w:val="en-US" w:eastAsia="zh-CN"/>
        </w:rPr>
        <w:t>情况对比如表：</w:t>
      </w:r>
    </w:p>
    <w:p>
      <w:pPr>
        <w:spacing w:line="240" w:lineRule="auto"/>
        <w:ind w:firstLine="420" w:firstLineChars="200"/>
        <w:jc w:val="center"/>
        <w:rPr>
          <w:rFonts w:hint="default" w:ascii="Times New Roman" w:hAnsi="Times New Roman" w:eastAsia="宋体" w:cs="Times New Roman"/>
          <w:sz w:val="21"/>
          <w:szCs w:val="18"/>
          <w:highlight w:val="none"/>
        </w:rPr>
      </w:pPr>
      <w:r>
        <w:rPr>
          <w:rFonts w:hint="default" w:ascii="Times New Roman" w:hAnsi="Times New Roman" w:eastAsia="宋体" w:cs="Times New Roman"/>
          <w:sz w:val="21"/>
          <w:szCs w:val="18"/>
          <w:highlight w:val="none"/>
        </w:rPr>
        <w:t>表</w:t>
      </w:r>
      <w:r>
        <w:rPr>
          <w:rFonts w:hint="eastAsia" w:eastAsia="宋体" w:cs="Times New Roman"/>
          <w:sz w:val="21"/>
          <w:szCs w:val="18"/>
          <w:highlight w:val="none"/>
          <w:lang w:val="en-US" w:eastAsia="zh-CN"/>
        </w:rPr>
        <w:t>1-</w:t>
      </w:r>
      <w:r>
        <w:rPr>
          <w:rFonts w:hint="eastAsia" w:cs="Times New Roman"/>
          <w:sz w:val="21"/>
          <w:szCs w:val="18"/>
          <w:highlight w:val="none"/>
          <w:lang w:val="en-US" w:eastAsia="zh-CN"/>
        </w:rPr>
        <w:t>5</w:t>
      </w:r>
      <w:r>
        <w:rPr>
          <w:rFonts w:hint="default" w:ascii="Times New Roman" w:hAnsi="Times New Roman" w:eastAsia="宋体" w:cs="Times New Roman"/>
          <w:sz w:val="21"/>
          <w:szCs w:val="18"/>
          <w:highlight w:val="none"/>
        </w:rPr>
        <w:t xml:space="preserve"> 国内外</w:t>
      </w:r>
      <w:r>
        <w:rPr>
          <w:rFonts w:hint="eastAsia" w:eastAsia="宋体" w:cs="Times New Roman"/>
          <w:sz w:val="21"/>
          <w:szCs w:val="18"/>
          <w:highlight w:val="none"/>
          <w:lang w:eastAsia="zh-CN"/>
        </w:rPr>
        <w:t>测试仪</w:t>
      </w:r>
      <w:r>
        <w:rPr>
          <w:rFonts w:hint="default" w:ascii="Times New Roman" w:hAnsi="Times New Roman" w:eastAsia="宋体" w:cs="Times New Roman"/>
          <w:sz w:val="21"/>
          <w:szCs w:val="18"/>
          <w:highlight w:val="none"/>
        </w:rPr>
        <w:t>对比分析</w:t>
      </w:r>
    </w:p>
    <w:tbl>
      <w:tblPr>
        <w:tblStyle w:val="32"/>
        <w:tblW w:w="7903" w:type="dxa"/>
        <w:jc w:val="center"/>
        <w:tblLayout w:type="fixed"/>
        <w:tblCellMar>
          <w:top w:w="0" w:type="dxa"/>
          <w:left w:w="0" w:type="dxa"/>
          <w:bottom w:w="0" w:type="dxa"/>
          <w:right w:w="0" w:type="dxa"/>
        </w:tblCellMar>
      </w:tblPr>
      <w:tblGrid>
        <w:gridCol w:w="857"/>
        <w:gridCol w:w="1620"/>
        <w:gridCol w:w="5426"/>
      </w:tblGrid>
      <w:tr>
        <w:tblPrEx>
          <w:tblCellMar>
            <w:top w:w="0" w:type="dxa"/>
            <w:left w:w="0" w:type="dxa"/>
            <w:bottom w:w="0" w:type="dxa"/>
            <w:right w:w="0" w:type="dxa"/>
          </w:tblCellMar>
        </w:tblPrEx>
        <w:trPr>
          <w:trHeight w:val="754" w:hRule="atLeast"/>
          <w:jc w:val="center"/>
        </w:trPr>
        <w:tc>
          <w:tcPr>
            <w:tcW w:w="857"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序号</w:t>
            </w:r>
          </w:p>
        </w:tc>
        <w:tc>
          <w:tcPr>
            <w:tcW w:w="1620"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设备名称</w:t>
            </w:r>
          </w:p>
        </w:tc>
        <w:tc>
          <w:tcPr>
            <w:tcW w:w="5426"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lang w:val="en-US" w:eastAsia="zh-CN"/>
              </w:rPr>
            </w:pPr>
            <w:r>
              <w:rPr>
                <w:rFonts w:hint="eastAsia" w:cs="Times New Roman"/>
                <w:color w:val="auto"/>
                <w:sz w:val="21"/>
                <w:szCs w:val="21"/>
                <w:lang w:val="en-US" w:eastAsia="zh-CN"/>
              </w:rPr>
              <w:t>功能特点</w:t>
            </w:r>
          </w:p>
        </w:tc>
      </w:tr>
      <w:tr>
        <w:tblPrEx>
          <w:tblCellMar>
            <w:top w:w="0" w:type="dxa"/>
            <w:left w:w="0" w:type="dxa"/>
            <w:bottom w:w="0" w:type="dxa"/>
            <w:right w:w="0" w:type="dxa"/>
          </w:tblCellMar>
        </w:tblPrEx>
        <w:trPr>
          <w:trHeight w:val="1906" w:hRule="atLeast"/>
          <w:jc w:val="center"/>
        </w:trPr>
        <w:tc>
          <w:tcPr>
            <w:tcW w:w="857"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1</w:t>
            </w:r>
          </w:p>
        </w:tc>
        <w:tc>
          <w:tcPr>
            <w:tcW w:w="1620"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cs="Times New Roman"/>
                <w:color w:val="auto"/>
                <w:sz w:val="21"/>
                <w:szCs w:val="21"/>
                <w:lang w:val="en-US" w:eastAsia="zh-CN"/>
              </w:rPr>
              <w:t>国外品牌：ABB CB2000等</w:t>
            </w:r>
          </w:p>
        </w:tc>
        <w:tc>
          <w:tcPr>
            <w:tcW w:w="5426"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单个测试通道有线测试，一次只能完成一个电容器单元的测试，</w:t>
            </w:r>
            <w:r>
              <w:rPr>
                <w:rFonts w:hint="eastAsia" w:cs="Times New Roman"/>
                <w:color w:val="auto"/>
                <w:sz w:val="21"/>
                <w:szCs w:val="21"/>
                <w:lang w:val="en-US" w:eastAsia="zh-CN"/>
              </w:rPr>
              <w:t>试验过程中需要挂接线夹、电流钳</w:t>
            </w:r>
          </w:p>
        </w:tc>
      </w:tr>
      <w:tr>
        <w:tblPrEx>
          <w:tblCellMar>
            <w:top w:w="0" w:type="dxa"/>
            <w:left w:w="0" w:type="dxa"/>
            <w:bottom w:w="0" w:type="dxa"/>
            <w:right w:w="0" w:type="dxa"/>
          </w:tblCellMar>
        </w:tblPrEx>
        <w:trPr>
          <w:trHeight w:val="1439" w:hRule="atLeast"/>
          <w:jc w:val="center"/>
        </w:trPr>
        <w:tc>
          <w:tcPr>
            <w:tcW w:w="857"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2</w:t>
            </w:r>
          </w:p>
        </w:tc>
        <w:tc>
          <w:tcPr>
            <w:tcW w:w="1620"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国内品牌：济南泛华、武汉特高</w:t>
            </w:r>
          </w:p>
        </w:tc>
        <w:tc>
          <w:tcPr>
            <w:tcW w:w="5426"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单个</w:t>
            </w:r>
            <w:r>
              <w:rPr>
                <w:rFonts w:hint="eastAsia" w:cs="Times New Roman"/>
                <w:color w:val="auto"/>
                <w:sz w:val="21"/>
                <w:szCs w:val="21"/>
                <w:lang w:val="en-US" w:eastAsia="zh-CN"/>
              </w:rPr>
              <w:t>、多个</w:t>
            </w:r>
            <w:r>
              <w:rPr>
                <w:rFonts w:hint="eastAsia" w:ascii="Times New Roman" w:hAnsi="Times New Roman" w:cs="Times New Roman"/>
                <w:color w:val="auto"/>
                <w:sz w:val="21"/>
                <w:szCs w:val="21"/>
                <w:lang w:val="en-US" w:eastAsia="zh-CN"/>
              </w:rPr>
              <w:t>测试通道有线测试，试验过程中需要挂接线夹、电流钳</w:t>
            </w:r>
          </w:p>
        </w:tc>
      </w:tr>
      <w:tr>
        <w:tblPrEx>
          <w:tblCellMar>
            <w:top w:w="0" w:type="dxa"/>
            <w:left w:w="0" w:type="dxa"/>
            <w:bottom w:w="0" w:type="dxa"/>
            <w:right w:w="0" w:type="dxa"/>
          </w:tblCellMar>
        </w:tblPrEx>
        <w:trPr>
          <w:trHeight w:val="1651" w:hRule="atLeast"/>
          <w:jc w:val="center"/>
        </w:trPr>
        <w:tc>
          <w:tcPr>
            <w:tcW w:w="857"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3</w:t>
            </w:r>
          </w:p>
        </w:tc>
        <w:tc>
          <w:tcPr>
            <w:tcW w:w="1620"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新技术产品</w:t>
            </w:r>
          </w:p>
        </w:tc>
        <w:tc>
          <w:tcPr>
            <w:tcW w:w="5426" w:type="dxa"/>
            <w:tcBorders>
              <w:top w:val="single" w:color="auto" w:sz="4" w:space="0"/>
              <w:left w:val="single" w:color="auto" w:sz="4" w:space="0"/>
              <w:bottom w:val="single" w:color="auto" w:sz="4" w:space="0"/>
              <w:right w:val="single" w:color="auto" w:sz="4" w:space="0"/>
            </w:tcBorders>
            <w:noWrap w:val="0"/>
            <w:tcMar>
              <w:top w:w="15" w:type="dxa"/>
              <w:left w:w="38" w:type="dxa"/>
              <w:bottom w:w="0" w:type="dxa"/>
              <w:right w:w="38" w:type="dxa"/>
            </w:tcMar>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6个测试通道</w:t>
            </w:r>
            <w:r>
              <w:rPr>
                <w:rFonts w:hint="eastAsia" w:cs="Times New Roman"/>
                <w:color w:val="auto"/>
                <w:sz w:val="21"/>
                <w:szCs w:val="21"/>
                <w:lang w:val="en-US" w:eastAsia="zh-CN"/>
              </w:rPr>
              <w:t>，配置</w:t>
            </w:r>
            <w:r>
              <w:rPr>
                <w:rFonts w:hint="eastAsia" w:ascii="Times New Roman" w:hAnsi="Times New Roman" w:cs="Times New Roman"/>
                <w:color w:val="auto"/>
                <w:sz w:val="21"/>
                <w:szCs w:val="21"/>
                <w:lang w:val="en-US" w:eastAsia="zh-CN"/>
              </w:rPr>
              <w:t>无线</w:t>
            </w:r>
            <w:r>
              <w:rPr>
                <w:rFonts w:hint="eastAsia" w:cs="Times New Roman"/>
                <w:color w:val="auto"/>
                <w:sz w:val="21"/>
                <w:szCs w:val="21"/>
                <w:lang w:val="en-US" w:eastAsia="zh-CN"/>
              </w:rPr>
              <w:t>传输电流钳</w:t>
            </w:r>
            <w:r>
              <w:rPr>
                <w:rFonts w:hint="eastAsia" w:ascii="Times New Roman" w:hAnsi="Times New Roman" w:cs="Times New Roman"/>
                <w:color w:val="auto"/>
                <w:sz w:val="21"/>
                <w:szCs w:val="21"/>
                <w:lang w:val="en-US" w:eastAsia="zh-CN"/>
              </w:rPr>
              <w:t>，试验过程中需要挂接线夹</w:t>
            </w:r>
            <w:r>
              <w:rPr>
                <w:rFonts w:hint="eastAsia" w:cs="Times New Roman"/>
                <w:color w:val="auto"/>
                <w:sz w:val="21"/>
                <w:szCs w:val="21"/>
                <w:lang w:val="en-US" w:eastAsia="zh-CN"/>
              </w:rPr>
              <w:t>，</w:t>
            </w:r>
            <w:r>
              <w:rPr>
                <w:rFonts w:hint="eastAsia" w:ascii="Times New Roman" w:hAnsi="Times New Roman" w:cs="Times New Roman"/>
                <w:color w:val="auto"/>
                <w:sz w:val="21"/>
                <w:szCs w:val="21"/>
                <w:lang w:val="en-US" w:eastAsia="zh-CN"/>
              </w:rPr>
              <w:t>电流钳</w:t>
            </w:r>
            <w:r>
              <w:rPr>
                <w:rFonts w:hint="eastAsia" w:cs="Times New Roman"/>
                <w:color w:val="auto"/>
                <w:sz w:val="21"/>
                <w:szCs w:val="21"/>
                <w:lang w:val="en-US" w:eastAsia="zh-CN"/>
              </w:rPr>
              <w:t>可采用配置的免高处作业工具安装</w:t>
            </w:r>
            <w:r>
              <w:rPr>
                <w:rFonts w:hint="eastAsia" w:ascii="Times New Roman" w:hAnsi="Times New Roman" w:cs="Times New Roman"/>
                <w:color w:val="auto"/>
                <w:sz w:val="21"/>
                <w:szCs w:val="21"/>
                <w:lang w:val="en-US" w:eastAsia="zh-CN"/>
              </w:rPr>
              <w:t>，</w:t>
            </w:r>
            <w:r>
              <w:rPr>
                <w:rFonts w:hint="eastAsia" w:cs="Times New Roman"/>
                <w:color w:val="auto"/>
                <w:sz w:val="21"/>
                <w:szCs w:val="21"/>
                <w:lang w:val="en-US" w:eastAsia="zh-CN"/>
              </w:rPr>
              <w:t>附加剩余电量</w:t>
            </w:r>
            <w:r>
              <w:rPr>
                <w:rFonts w:hint="eastAsia" w:ascii="Times New Roman" w:hAnsi="Times New Roman" w:cs="Times New Roman"/>
                <w:color w:val="auto"/>
                <w:sz w:val="21"/>
                <w:szCs w:val="21"/>
                <w:lang w:val="en-US" w:eastAsia="zh-CN"/>
              </w:rPr>
              <w:t>放电验电可视化</w:t>
            </w:r>
            <w:r>
              <w:rPr>
                <w:rFonts w:hint="eastAsia" w:cs="Times New Roman"/>
                <w:color w:val="auto"/>
                <w:sz w:val="21"/>
                <w:szCs w:val="21"/>
                <w:lang w:val="en-US" w:eastAsia="zh-CN"/>
              </w:rPr>
              <w:t>工具</w:t>
            </w:r>
          </w:p>
        </w:tc>
      </w:tr>
    </w:tbl>
    <w:p>
      <w:pPr>
        <w:widowControl w:val="0"/>
        <w:spacing w:after="120" w:line="240" w:lineRule="auto"/>
        <w:ind w:firstLine="0" w:firstLineChars="0"/>
        <w:jc w:val="both"/>
        <w:rPr>
          <w:rFonts w:eastAsia="宋体" w:asciiTheme="minorHAnsi" w:hAnsiTheme="minorHAnsi" w:cstheme="minorBidi"/>
          <w:kern w:val="2"/>
          <w:sz w:val="21"/>
          <w:szCs w:val="21"/>
          <w:lang w:val="en-US" w:eastAsia="zh-CN" w:bidi="ar-SA"/>
        </w:rPr>
      </w:pPr>
    </w:p>
    <w:p>
      <w:pPr>
        <w:spacing w:line="360" w:lineRule="auto"/>
        <w:ind w:firstLine="420" w:firstLineChars="0"/>
        <w:rPr>
          <w:rFonts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）生产企业介绍</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i/>
          <w:iCs/>
          <w:color w:val="auto"/>
          <w:kern w:val="2"/>
          <w:sz w:val="24"/>
          <w:highlight w:val="yellow"/>
          <w:lang w:val="en-US" w:eastAsia="zh-CN"/>
        </w:rPr>
        <w:t>简要介绍新技术产品生产厂家及其资质能力情况，应客观介绍，避免出现类似“广告”相关描述。</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产品生产企业广东电力通信科技有限公司位于广州，是隶属南方电网有限责任公司的三级单位，是广东电网有限责任公司全资子公司。公司经营范围包括通信网的运营、规划、设计、技术研究、咨询服务、建设与改造、运行维护；通信设备销售；通信设备检测、产品研发；通信网络系统集成；建筑智能化工程、通信工程、自动化工程专业承包。</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委托加工企业为项目研发阶段样机加工测试单位--广东珠海艾迪神电力科技有限公司。广东艾迪神电力科技有限公司</w:t>
      </w:r>
      <w:r>
        <w:rPr>
          <w:rFonts w:hint="default" w:ascii="Times New Roman" w:hAnsi="Times New Roman" w:eastAsia="宋体" w:cs="Times New Roman"/>
          <w:color w:val="auto"/>
          <w:kern w:val="2"/>
          <w:sz w:val="24"/>
          <w:lang w:val="en-US" w:eastAsia="zh-CN"/>
        </w:rPr>
        <w:t>是一家专注于各类</w:t>
      </w:r>
      <w:r>
        <w:rPr>
          <w:rFonts w:hint="eastAsia" w:ascii="Times New Roman" w:hAnsi="Times New Roman" w:eastAsia="宋体" w:cs="Times New Roman"/>
          <w:color w:val="auto"/>
          <w:kern w:val="2"/>
          <w:sz w:val="24"/>
          <w:lang w:val="en-US" w:eastAsia="zh-CN"/>
        </w:rPr>
        <w:t>智能型电力检测仪器及电力自动化设备的研发与生产</w:t>
      </w:r>
      <w:r>
        <w:rPr>
          <w:rFonts w:hint="default" w:ascii="Times New Roman" w:hAnsi="Times New Roman" w:eastAsia="宋体" w:cs="Times New Roman"/>
          <w:color w:val="auto"/>
          <w:kern w:val="2"/>
          <w:sz w:val="24"/>
          <w:lang w:val="en-US" w:eastAsia="zh-CN"/>
        </w:rPr>
        <w:t>和销售的企业</w:t>
      </w:r>
      <w:r>
        <w:rPr>
          <w:rFonts w:hint="eastAsia" w:ascii="Times New Roman" w:hAnsi="Times New Roman" w:eastAsia="宋体" w:cs="Times New Roman"/>
          <w:color w:val="auto"/>
          <w:kern w:val="2"/>
          <w:sz w:val="24"/>
          <w:lang w:val="en-US" w:eastAsia="zh-CN"/>
        </w:rPr>
        <w:t>，</w:t>
      </w:r>
      <w:r>
        <w:rPr>
          <w:rFonts w:hint="default" w:ascii="Times New Roman" w:hAnsi="Times New Roman" w:eastAsia="宋体" w:cs="Times New Roman"/>
          <w:color w:val="auto"/>
          <w:kern w:val="2"/>
          <w:sz w:val="24"/>
          <w:lang w:val="en-US" w:eastAsia="zh-CN"/>
        </w:rPr>
        <w:t>公司成立于20</w:t>
      </w:r>
      <w:r>
        <w:rPr>
          <w:rFonts w:hint="eastAsia" w:ascii="Times New Roman" w:hAnsi="Times New Roman" w:eastAsia="宋体" w:cs="Times New Roman"/>
          <w:color w:val="auto"/>
          <w:kern w:val="2"/>
          <w:sz w:val="24"/>
          <w:lang w:val="en-US" w:eastAsia="zh-CN"/>
        </w:rPr>
        <w:t>04</w:t>
      </w:r>
      <w:r>
        <w:rPr>
          <w:rFonts w:hint="default" w:ascii="Times New Roman" w:hAnsi="Times New Roman" w:eastAsia="宋体" w:cs="Times New Roman"/>
          <w:color w:val="auto"/>
          <w:kern w:val="2"/>
          <w:sz w:val="24"/>
          <w:lang w:val="en-US" w:eastAsia="zh-CN"/>
        </w:rPr>
        <w:t>年，总部和生产基地位于广东</w:t>
      </w:r>
      <w:r>
        <w:rPr>
          <w:rFonts w:hint="eastAsia" w:ascii="Times New Roman" w:hAnsi="Times New Roman" w:eastAsia="宋体" w:cs="Times New Roman"/>
          <w:color w:val="auto"/>
          <w:kern w:val="2"/>
          <w:sz w:val="24"/>
          <w:lang w:val="en-US" w:eastAsia="zh-CN"/>
        </w:rPr>
        <w:t>珠海</w:t>
      </w:r>
      <w:r>
        <w:rPr>
          <w:rFonts w:hint="default" w:ascii="Times New Roman" w:hAnsi="Times New Roman" w:eastAsia="宋体" w:cs="Times New Roman"/>
          <w:color w:val="auto"/>
          <w:kern w:val="2"/>
          <w:sz w:val="24"/>
          <w:lang w:val="en-US" w:eastAsia="zh-CN"/>
        </w:rPr>
        <w:t>。</w:t>
      </w:r>
      <w:r>
        <w:rPr>
          <w:rFonts w:hint="eastAsia" w:ascii="Times New Roman" w:hAnsi="Times New Roman" w:eastAsia="宋体" w:cs="Times New Roman"/>
          <w:color w:val="auto"/>
          <w:kern w:val="2"/>
          <w:sz w:val="24"/>
          <w:lang w:val="en-US" w:eastAsia="zh-CN"/>
        </w:rPr>
        <w:t>公司依据相关电力行业标准配备了齐全的生产和试验工装设备，通过了《ISO9001质量管理体系认证》、《ISO14001环境体系认证》、《OHSAS18001职业健康体系认证》等相关体系认证。</w:t>
      </w:r>
    </w:p>
    <w:p>
      <w:pPr>
        <w:pStyle w:val="5"/>
        <w:bidi w:val="0"/>
        <w:rPr>
          <w:rFonts w:hint="eastAsia"/>
          <w:lang w:val="en-US" w:eastAsia="zh-CN"/>
        </w:rPr>
      </w:pPr>
      <w:r>
        <w:rPr>
          <w:rFonts w:hint="eastAsia"/>
          <w:lang w:val="en-US" w:eastAsia="zh-CN"/>
        </w:rPr>
        <w:t>产品经济性分析</w:t>
      </w:r>
    </w:p>
    <w:p>
      <w:pPr>
        <w:pStyle w:val="133"/>
        <w:spacing w:line="360" w:lineRule="auto"/>
        <w:ind w:firstLine="480" w:firstLineChars="200"/>
        <w:rPr>
          <w:rFonts w:hint="default" w:ascii="Times New Roman" w:hAnsi="Times New Roman" w:eastAsia="宋体" w:cs="Times New Roman"/>
          <w:i/>
          <w:iCs/>
          <w:color w:val="auto"/>
          <w:kern w:val="2"/>
          <w:sz w:val="24"/>
          <w:highlight w:val="yellow"/>
          <w:lang w:val="en-US" w:eastAsia="zh-CN"/>
        </w:rPr>
      </w:pPr>
      <w:r>
        <w:rPr>
          <w:rFonts w:hint="eastAsia" w:ascii="Times New Roman" w:hAnsi="Times New Roman" w:eastAsia="宋体" w:cs="Times New Roman"/>
          <w:i/>
          <w:iCs/>
          <w:color w:val="auto"/>
          <w:kern w:val="2"/>
          <w:sz w:val="24"/>
          <w:highlight w:val="yellow"/>
          <w:lang w:val="en-US" w:eastAsia="zh-CN"/>
        </w:rPr>
        <w:t>明确拟推广产品的大概售价，相比采用现有产品、方法，成本提高还是降低。如果产品售价高于现有产品，可从功能优势等方面说明。</w:t>
      </w:r>
    </w:p>
    <w:p>
      <w:pPr>
        <w:pStyle w:val="133"/>
        <w:spacing w:line="360" w:lineRule="auto"/>
        <w:ind w:firstLine="482"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b/>
          <w:bCs/>
          <w:i/>
          <w:iCs/>
          <w:color w:val="FF0000"/>
          <w:kern w:val="2"/>
          <w:sz w:val="24"/>
          <w:highlight w:val="yellow"/>
          <w:lang w:val="en-US" w:eastAsia="zh-CN"/>
        </w:rPr>
        <w:t>从电网公司视角分析，不要提市场规模，销售前景等内容。</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新产品的市场预计售价约为25万元，当前开展电容器组测试常用的电容电感测试仪，国内主流厂家售价约3.5-8万元不等，国外厂家售价约15万元左右。该产品单台售价相对当前使用的传统产品提高了。</w:t>
      </w:r>
    </w:p>
    <w:p>
      <w:pPr>
        <w:pStyle w:val="5"/>
        <w:bidi w:val="0"/>
        <w:rPr>
          <w:rFonts w:hint="eastAsia"/>
          <w:lang w:val="en-US" w:eastAsia="zh-CN"/>
        </w:rPr>
      </w:pPr>
      <w:r>
        <w:rPr>
          <w:rFonts w:hint="eastAsia"/>
          <w:lang w:val="en-US" w:eastAsia="zh-CN"/>
        </w:rPr>
        <w:t>知识产权情况</w:t>
      </w:r>
    </w:p>
    <w:p>
      <w:pPr>
        <w:spacing w:line="360" w:lineRule="auto"/>
        <w:ind w:firstLine="480" w:firstLineChars="200"/>
        <w:rPr>
          <w:rFonts w:hint="eastAsia" w:ascii="Times New Roman" w:hAnsi="Times New Roman" w:eastAsia="宋体" w:cs="Times New Roman"/>
          <w:i/>
          <w:iCs/>
          <w:color w:val="auto"/>
          <w:kern w:val="2"/>
          <w:sz w:val="24"/>
          <w:highlight w:val="yellow"/>
          <w:lang w:val="en-US" w:eastAsia="zh-CN"/>
        </w:rPr>
      </w:pPr>
      <w:r>
        <w:rPr>
          <w:rFonts w:hint="eastAsia" w:ascii="Times New Roman" w:hAnsi="Times New Roman" w:eastAsia="宋体" w:cs="Times New Roman"/>
          <w:i/>
          <w:iCs/>
          <w:color w:val="auto"/>
          <w:kern w:val="2"/>
          <w:sz w:val="24"/>
          <w:highlight w:val="yellow"/>
          <w:lang w:val="en-US" w:eastAsia="zh-CN"/>
        </w:rPr>
        <w:t>简要介绍南网与厂家的关键知识产权情况</w:t>
      </w:r>
      <w:r>
        <w:rPr>
          <w:rFonts w:hint="eastAsia" w:eastAsia="宋体" w:cs="Times New Roman"/>
          <w:i/>
          <w:iCs/>
          <w:color w:val="auto"/>
          <w:kern w:val="2"/>
          <w:sz w:val="24"/>
          <w:highlight w:val="yellow"/>
          <w:lang w:val="en-US" w:eastAsia="zh-CN"/>
        </w:rPr>
        <w:t>。</w:t>
      </w:r>
    </w:p>
    <w:p>
      <w:pPr>
        <w:spacing w:line="360" w:lineRule="auto"/>
        <w:ind w:firstLine="480" w:firstLineChars="200"/>
        <w:rPr>
          <w:rFonts w:hint="default" w:eastAsia="宋体"/>
          <w:sz w:val="24"/>
          <w:szCs w:val="22"/>
          <w:lang w:val="en-US"/>
        </w:rPr>
      </w:pPr>
      <w:r>
        <w:rPr>
          <w:rFonts w:hint="eastAsia" w:ascii="Times New Roman" w:hAnsi="Times New Roman" w:eastAsia="宋体" w:cs="Times New Roman"/>
          <w:i/>
          <w:iCs/>
          <w:color w:val="auto"/>
          <w:kern w:val="2"/>
          <w:sz w:val="24"/>
          <w:highlight w:val="yellow"/>
          <w:lang w:val="en-US" w:eastAsia="zh-CN"/>
        </w:rPr>
        <w:t>针对公司内部创新成果，应补充说明与</w:t>
      </w:r>
      <w:r>
        <w:rPr>
          <w:rFonts w:hint="eastAsia" w:eastAsia="宋体" w:cs="Times New Roman"/>
          <w:i/>
          <w:iCs/>
          <w:color w:val="auto"/>
          <w:kern w:val="2"/>
          <w:sz w:val="24"/>
          <w:highlight w:val="yellow"/>
          <w:lang w:val="en-US" w:eastAsia="zh-CN"/>
        </w:rPr>
        <w:t>孵化公司、制造公司</w:t>
      </w:r>
      <w:r>
        <w:rPr>
          <w:rFonts w:hint="eastAsia" w:ascii="Times New Roman" w:hAnsi="Times New Roman" w:eastAsia="宋体" w:cs="Times New Roman"/>
          <w:i/>
          <w:iCs/>
          <w:color w:val="auto"/>
          <w:kern w:val="2"/>
          <w:sz w:val="24"/>
          <w:highlight w:val="yellow"/>
          <w:lang w:val="en-US" w:eastAsia="zh-CN"/>
        </w:rPr>
        <w:t>的合作模式及收益分成机制</w:t>
      </w:r>
      <w:r>
        <w:rPr>
          <w:rFonts w:hint="eastAsia" w:eastAsia="宋体" w:cs="Times New Roman"/>
          <w:i/>
          <w:iCs/>
          <w:color w:val="auto"/>
          <w:kern w:val="2"/>
          <w:sz w:val="24"/>
          <w:highlight w:val="yellow"/>
          <w:lang w:val="en-US" w:eastAsia="zh-CN"/>
        </w:rPr>
        <w:t>。已</w:t>
      </w:r>
      <w:r>
        <w:rPr>
          <w:rFonts w:hint="eastAsia" w:cs="Times New Roman"/>
          <w:i/>
          <w:iCs/>
          <w:color w:val="auto"/>
          <w:kern w:val="2"/>
          <w:sz w:val="24"/>
          <w:highlight w:val="yellow"/>
          <w:lang w:val="en-US" w:eastAsia="zh-CN"/>
        </w:rPr>
        <w:t>签订</w:t>
      </w:r>
      <w:r>
        <w:rPr>
          <w:rFonts w:hint="eastAsia" w:eastAsia="宋体" w:cs="Times New Roman"/>
          <w:i/>
          <w:iCs/>
          <w:color w:val="auto"/>
          <w:kern w:val="2"/>
          <w:sz w:val="24"/>
          <w:highlight w:val="yellow"/>
          <w:lang w:val="en-US" w:eastAsia="zh-CN"/>
        </w:rPr>
        <w:t>合作协议的，提供许可合同、委托加工招标文件等作为附件；尚未签订协议的应说明目前正在协商中，预计采取的合作模式。</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本新技术产品已授权实用新型专利4项，发明专利实审4项。</w:t>
      </w:r>
    </w:p>
    <w:p>
      <w:pPr>
        <w:widowControl w:val="0"/>
        <w:spacing w:after="120" w:line="240" w:lineRule="auto"/>
        <w:ind w:firstLine="210" w:firstLineChars="100"/>
        <w:jc w:val="center"/>
        <w:rPr>
          <w:rFonts w:eastAsia="宋体" w:asciiTheme="minorHAnsi" w:hAnsiTheme="minorHAnsi" w:cstheme="minorBidi"/>
          <w:kern w:val="2"/>
          <w:sz w:val="24"/>
          <w:szCs w:val="22"/>
          <w:lang w:val="en-US" w:eastAsia="zh-CN" w:bidi="ar-SA"/>
        </w:rPr>
      </w:pPr>
      <w:r>
        <w:rPr>
          <w:rFonts w:ascii="Times New Roman" w:hAnsi="Times New Roman" w:eastAsia="宋体" w:cs="Times New Roman"/>
          <w:kern w:val="2"/>
          <w:sz w:val="21"/>
          <w:szCs w:val="20"/>
          <w:lang w:val="en-US" w:eastAsia="zh-CN" w:bidi="ar-SA"/>
        </w:rPr>
        <w:t>表</w:t>
      </w:r>
      <w:r>
        <w:rPr>
          <w:rFonts w:hint="eastAsia" w:cs="Times New Roman"/>
          <w:kern w:val="2"/>
          <w:sz w:val="21"/>
          <w:szCs w:val="20"/>
          <w:lang w:val="en-US" w:eastAsia="zh-CN" w:bidi="ar-SA"/>
        </w:rPr>
        <w:t>1-6</w:t>
      </w:r>
      <w:r>
        <w:rPr>
          <w:rFonts w:hint="eastAsia" w:ascii="Times New Roman" w:hAnsi="Times New Roman" w:eastAsia="宋体" w:cs="Times New Roman"/>
          <w:kern w:val="2"/>
          <w:sz w:val="21"/>
          <w:szCs w:val="20"/>
          <w:lang w:val="en-US" w:eastAsia="zh-CN" w:bidi="ar-SA"/>
        </w:rPr>
        <w:t xml:space="preserve"> 新技术产品知识产权情况</w:t>
      </w:r>
    </w:p>
    <w:tbl>
      <w:tblPr>
        <w:tblStyle w:val="3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5562"/>
        <w:gridCol w:w="1411"/>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48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序号</w:t>
            </w:r>
          </w:p>
        </w:tc>
        <w:tc>
          <w:tcPr>
            <w:tcW w:w="2995"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知识产权</w:t>
            </w:r>
            <w:r>
              <w:rPr>
                <w:rFonts w:hint="default" w:ascii="Times New Roman" w:hAnsi="Times New Roman" w:cs="Times New Roman"/>
                <w:color w:val="auto"/>
                <w:sz w:val="21"/>
                <w:szCs w:val="21"/>
                <w:lang w:val="en-US" w:eastAsia="zh-CN"/>
              </w:rPr>
              <w:t>名称</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类型</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所有权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1</w:t>
            </w:r>
          </w:p>
        </w:tc>
        <w:tc>
          <w:tcPr>
            <w:tcW w:w="2995"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一种电容测试分析设备</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实用新型</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南网独有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2</w:t>
            </w:r>
          </w:p>
        </w:tc>
        <w:tc>
          <w:tcPr>
            <w:tcW w:w="2995"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一种电流感应装置</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实用新型</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南网独有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3</w:t>
            </w:r>
          </w:p>
        </w:tc>
        <w:tc>
          <w:tcPr>
            <w:tcW w:w="2995"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一种电流钳</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实用新型</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南网独有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4</w:t>
            </w:r>
          </w:p>
        </w:tc>
        <w:tc>
          <w:tcPr>
            <w:tcW w:w="2995"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一种验电放电棒</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实用新型</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南网独有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5</w:t>
            </w:r>
          </w:p>
        </w:tc>
        <w:tc>
          <w:tcPr>
            <w:tcW w:w="2995"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无线智能化电容电感测试仪的研究和应用</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论文</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南网独有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3"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6</w:t>
            </w:r>
          </w:p>
        </w:tc>
        <w:tc>
          <w:tcPr>
            <w:tcW w:w="2995"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一起10kV电容器组不平衡动作事件引起的思考</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论文</w:t>
            </w:r>
          </w:p>
        </w:tc>
        <w:tc>
          <w:tcPr>
            <w:tcW w:w="760" w:type="pct"/>
            <w:vAlign w:val="center"/>
          </w:tcPr>
          <w:p>
            <w:pPr>
              <w:keepNext w:val="0"/>
              <w:keepLines w:val="0"/>
              <w:pageBreakBefore w:val="0"/>
              <w:tabs>
                <w:tab w:val="left" w:pos="851"/>
              </w:tabs>
              <w:kinsoku/>
              <w:wordWrap/>
              <w:overflowPunct/>
              <w:topLinePunct w:val="0"/>
              <w:autoSpaceDE/>
              <w:autoSpaceDN/>
              <w:bidi w:val="0"/>
              <w:adjustRightInd/>
              <w:snapToGrid/>
              <w:spacing w:line="360" w:lineRule="auto"/>
              <w:ind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南网独有</w:t>
            </w:r>
          </w:p>
        </w:tc>
      </w:tr>
    </w:tbl>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该新技术产品申报单位为深圳供电局通信管理所，成果研发单位为深圳供电局有限公司自主研发/与XX公司合作研发。新产品已授权实用新型专利9件、发明专利3件，该产品知识产权归深圳供电局有限公司所有。</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2022年4月通过了深圳供电局有限公司的成果转化评估，与深圳南方电网深港科技创新有限公司达成科技成果转化知识产权许可协议（成果转化合同）。本成果转化一次性许可费2万元，以10%收益计提比例对成果所形成产品的销售收入进行分成。</w:t>
      </w:r>
    </w:p>
    <w:p>
      <w:pPr>
        <w:pStyle w:val="133"/>
        <w:spacing w:line="360" w:lineRule="auto"/>
        <w:ind w:firstLine="480" w:firstLineChars="200"/>
        <w:rPr>
          <w:rFonts w:hint="eastAsia" w:eastAsia="宋体"/>
          <w:sz w:val="24"/>
          <w:szCs w:val="22"/>
        </w:rPr>
      </w:pPr>
      <w:r>
        <w:rPr>
          <w:rFonts w:hint="eastAsia" w:ascii="Times New Roman" w:hAnsi="Times New Roman" w:eastAsia="宋体" w:cs="Times New Roman"/>
          <w:color w:val="auto"/>
          <w:kern w:val="2"/>
          <w:sz w:val="24"/>
          <w:lang w:val="en-US" w:eastAsia="zh-CN"/>
        </w:rPr>
        <w:t>深港科创公司目前短时间内不具备生产、加工产品的能力，所以选择招标采购OEM代工服务的形式积极推动该产品试验、开发、产业化工作。深港科创公司与2022年9月份在南方电网供应链统一服务平台上发布《XXXXXXXXXXX》的招标公告，确定产品生产企业为景县众信诚橡塑制品有限公司。</w:t>
      </w:r>
      <w:bookmarkStart w:id="13" w:name="_GoBack"/>
      <w:bookmarkEnd w:id="13"/>
    </w:p>
    <w:p>
      <w:pPr>
        <w:pStyle w:val="5"/>
        <w:bidi w:val="0"/>
        <w:rPr>
          <w:lang w:val="en-US" w:eastAsia="zh-CN"/>
        </w:rPr>
      </w:pPr>
      <w:r>
        <w:rPr>
          <w:rFonts w:hint="eastAsia"/>
          <w:lang w:val="en-US" w:eastAsia="zh-CN"/>
        </w:rPr>
        <w:t>推广应用要求</w:t>
      </w:r>
    </w:p>
    <w:p>
      <w:pPr>
        <w:spacing w:line="360" w:lineRule="auto"/>
        <w:ind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rPr>
        <w:t>（一）应用</w:t>
      </w:r>
      <w:r>
        <w:rPr>
          <w:rFonts w:hint="eastAsia" w:ascii="宋体" w:hAnsi="宋体" w:eastAsia="宋体" w:cs="宋体"/>
          <w:b/>
          <w:bCs/>
          <w:sz w:val="24"/>
          <w:szCs w:val="24"/>
          <w:lang w:val="en-US" w:eastAsia="zh-CN"/>
        </w:rPr>
        <w:t>原则</w:t>
      </w:r>
    </w:p>
    <w:p>
      <w:pPr>
        <w:pStyle w:val="133"/>
        <w:spacing w:line="360" w:lineRule="auto"/>
        <w:ind w:firstLine="480" w:firstLineChars="200"/>
        <w:rPr>
          <w:rFonts w:hint="eastAsia" w:ascii="Times New Roman" w:hAnsi="Times New Roman" w:eastAsia="宋体" w:cs="Times New Roman"/>
          <w:i/>
          <w:iCs/>
          <w:color w:val="auto"/>
          <w:kern w:val="2"/>
          <w:sz w:val="24"/>
          <w:highlight w:val="yellow"/>
          <w:lang w:val="en-US" w:eastAsia="zh-CN"/>
        </w:rPr>
      </w:pPr>
      <w:r>
        <w:rPr>
          <w:rFonts w:hint="eastAsia" w:ascii="Times New Roman" w:hAnsi="Times New Roman" w:eastAsia="宋体" w:cs="Times New Roman"/>
          <w:i/>
          <w:iCs/>
          <w:color w:val="auto"/>
          <w:kern w:val="2"/>
          <w:sz w:val="24"/>
          <w:highlight w:val="yellow"/>
          <w:lang w:val="en-US" w:eastAsia="zh-CN"/>
        </w:rPr>
        <w:t>首先需要说明该产品应用于哪项具体工作任务，该工作任务属性（必须开展、可选开展），开展该项工作任务，本新产品应属于可选产品或必选产品。</w:t>
      </w:r>
    </w:p>
    <w:p>
      <w:pPr>
        <w:pStyle w:val="133"/>
        <w:spacing w:line="360" w:lineRule="auto"/>
        <w:ind w:firstLine="480" w:firstLineChars="200"/>
        <w:rPr>
          <w:rFonts w:hint="default" w:ascii="Times New Roman" w:hAnsi="Times New Roman" w:eastAsia="宋体" w:cs="Times New Roman"/>
          <w:i/>
          <w:iCs/>
          <w:color w:val="auto"/>
          <w:kern w:val="2"/>
          <w:sz w:val="24"/>
          <w:highlight w:val="yellow"/>
          <w:lang w:val="en-US" w:eastAsia="zh-CN"/>
        </w:rPr>
      </w:pPr>
      <w:r>
        <w:rPr>
          <w:rFonts w:hint="default" w:ascii="Times New Roman" w:hAnsi="Times New Roman" w:eastAsia="宋体" w:cs="Times New Roman"/>
          <w:i/>
          <w:iCs/>
          <w:color w:val="auto"/>
          <w:kern w:val="2"/>
          <w:sz w:val="24"/>
          <w:highlight w:val="yellow"/>
          <w:lang w:val="en-US" w:eastAsia="zh-CN"/>
        </w:rPr>
        <w:t>明确拟推广应用新技术产品应用场景、应用范围，推广应用策略等</w:t>
      </w:r>
      <w:r>
        <w:rPr>
          <w:rFonts w:hint="eastAsia" w:ascii="Times New Roman" w:hAnsi="Times New Roman" w:eastAsia="宋体" w:cs="Times New Roman"/>
          <w:i/>
          <w:iCs/>
          <w:color w:val="auto"/>
          <w:kern w:val="2"/>
          <w:sz w:val="24"/>
          <w:highlight w:val="yellow"/>
          <w:lang w:val="en-US" w:eastAsia="zh-CN"/>
        </w:rPr>
        <w:t>，注意避免形成垄断。</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按照《中国南方电网电力设备检修试验规程》要求，电容器组每6年开展一次预防性试验，电容值测试是预防性试验的重要试验项目，属于运维阶段“应试必试”项目。本次拟推广的产品属于开展电容器组测试的可选产品。</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典型场景应用如下：</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（1）本产品适用于各电压等级变电站中无功补偿电容器组检修周期性预防试验，或必要时开展的电容值测量工作。</w:t>
      </w:r>
    </w:p>
    <w:p>
      <w:pPr>
        <w:pStyle w:val="133"/>
        <w:spacing w:line="360" w:lineRule="auto"/>
        <w:ind w:firstLine="480" w:firstLineChars="200"/>
        <w:rPr>
          <w:rFonts w:hint="default"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（2）可应用于电容器或电抗器生产出厂检验、安装调试前后参数测试，作为运行前设备性能质量检验测试。</w:t>
      </w:r>
    </w:p>
    <w:p>
      <w:pPr>
        <w:spacing w:line="360" w:lineRule="auto"/>
        <w:ind w:firstLine="420" w:firstLineChars="0"/>
        <w:rPr>
          <w:rFonts w:ascii="宋体" w:hAnsi="宋体" w:eastAsia="宋体" w:cs="宋体"/>
          <w:b/>
          <w:bCs/>
          <w:sz w:val="24"/>
          <w:szCs w:val="24"/>
        </w:rPr>
      </w:pPr>
      <w:r>
        <w:rPr>
          <w:rFonts w:hint="eastAsia" w:ascii="宋体" w:hAnsi="宋体" w:eastAsia="宋体" w:cs="宋体"/>
          <w:b/>
          <w:bCs/>
          <w:sz w:val="24"/>
          <w:szCs w:val="24"/>
        </w:rPr>
        <w:t>（二）预期效果</w:t>
      </w:r>
    </w:p>
    <w:p>
      <w:pPr>
        <w:pStyle w:val="133"/>
        <w:spacing w:line="360" w:lineRule="auto"/>
        <w:ind w:firstLine="480" w:firstLineChars="200"/>
        <w:rPr>
          <w:rFonts w:hint="eastAsia" w:ascii="Times New Roman" w:hAnsi="Times New Roman" w:eastAsia="宋体" w:cs="Times New Roman"/>
          <w:color w:val="auto"/>
          <w:kern w:val="2"/>
          <w:sz w:val="24"/>
          <w:lang w:val="en-US" w:eastAsia="zh-CN"/>
        </w:rPr>
      </w:pPr>
      <w:r>
        <w:rPr>
          <w:rFonts w:hint="eastAsia" w:ascii="Times New Roman" w:hAnsi="Times New Roman" w:eastAsia="宋体" w:cs="Times New Roman"/>
          <w:color w:val="auto"/>
          <w:kern w:val="2"/>
          <w:sz w:val="24"/>
          <w:lang w:val="en-US" w:eastAsia="zh-CN"/>
        </w:rPr>
        <w:t>该新产品为检修试验班组开展电容器组电容值测试工作新增了一种可选工具，方便电容器组检修、运维工作。</w:t>
      </w:r>
    </w:p>
    <w:bookmarkEnd w:id="7"/>
    <w:bookmarkEnd w:id="8"/>
    <w:bookmarkEnd w:id="9"/>
    <w:p>
      <w:pPr>
        <w:pStyle w:val="133"/>
        <w:spacing w:line="360" w:lineRule="auto"/>
        <w:ind w:firstLine="480" w:firstLineChars="200"/>
        <w:rPr>
          <w:rFonts w:hint="default" w:ascii="Times New Roman" w:hAnsi="Times New Roman" w:eastAsia="宋体" w:cs="Times New Roman"/>
          <w:color w:val="auto"/>
          <w:kern w:val="2"/>
          <w:sz w:val="24"/>
          <w:lang w:val="en-US" w:eastAsia="zh-CN"/>
        </w:rPr>
      </w:pPr>
    </w:p>
    <w:sectPr>
      <w:headerReference r:id="rId14" w:type="default"/>
      <w:footerReference r:id="rId15" w:type="default"/>
      <w:pgSz w:w="11906" w:h="16838"/>
      <w:pgMar w:top="1701" w:right="1417" w:bottom="1417" w:left="1417" w:header="850" w:footer="992" w:gutter="0"/>
      <w:pgNumType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rPr>
        <w:rFonts w:ascii="宋体" w:hAnsi="宋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8"/>
      </w:rPr>
    </w:pPr>
    <w:r>
      <w:fldChar w:fldCharType="begin"/>
    </w:r>
    <w:r>
      <w:rPr>
        <w:rStyle w:val="38"/>
      </w:rPr>
      <w:instrText xml:space="preserve">PAGE  </w:instrText>
    </w:r>
    <w:r>
      <w:fldChar w:fldCharType="separate"/>
    </w:r>
    <w:r>
      <w:rPr>
        <w:rStyle w:val="38"/>
      </w:rPr>
      <w:t>2</w:t>
    </w:r>
    <w:r>
      <w:fldChar w:fldCharType="end"/>
    </w:r>
  </w:p>
  <w:p>
    <w:pPr>
      <w:pStyle w:val="2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both"/>
    </w:pPr>
  </w:p>
  <w:p>
    <w:pPr>
      <w:pStyle w:val="2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38"/>
      </w:rPr>
      <w:id w:val="-1943753970"/>
    </w:sdtPr>
    <w:sdtEndPr>
      <w:rPr>
        <w:rStyle w:val="38"/>
      </w:rPr>
    </w:sdtEndPr>
    <w:sdtContent>
      <w:p>
        <w:pPr>
          <w:pStyle w:val="23"/>
          <w:framePr w:wrap="around" w:vAnchor="text" w:hAnchor="margin" w:xAlign="center" w:y="1"/>
          <w:rPr>
            <w:rStyle w:val="38"/>
          </w:rPr>
        </w:pPr>
        <w:r>
          <w:rPr>
            <w:rStyle w:val="38"/>
          </w:rPr>
          <w:fldChar w:fldCharType="begin"/>
        </w:r>
        <w:r>
          <w:rPr>
            <w:rStyle w:val="38"/>
          </w:rPr>
          <w:instrText xml:space="preserve"> PAGE </w:instrText>
        </w:r>
        <w:r>
          <w:rPr>
            <w:rStyle w:val="38"/>
          </w:rPr>
          <w:fldChar w:fldCharType="separate"/>
        </w:r>
        <w:r>
          <w:rPr>
            <w:rStyle w:val="38"/>
          </w:rPr>
          <w:t>2</w:t>
        </w:r>
        <w:r>
          <w:rPr>
            <w:rStyle w:val="38"/>
          </w:rPr>
          <w:fldChar w:fldCharType="end"/>
        </w:r>
      </w:p>
    </w:sdtContent>
  </w:sdt>
  <w:p>
    <w:pPr>
      <w:pStyle w:val="23"/>
      <w:jc w:val="center"/>
      <w:rPr>
        <w:rFonts w:ascii="宋体" w:hAnsi="宋体"/>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4140" cy="153035"/>
              <wp:effectExtent l="0" t="0" r="0" b="0"/>
              <wp:wrapNone/>
              <wp:docPr id="230" name="Text Box 3"/>
              <wp:cNvGraphicFramePr/>
              <a:graphic xmlns:a="http://schemas.openxmlformats.org/drawingml/2006/main">
                <a:graphicData uri="http://schemas.microsoft.com/office/word/2010/wordprocessingShape">
                  <wps:wsp>
                    <wps:cNvSpPr txBox="1"/>
                    <wps:spPr bwMode="auto">
                      <a:xfrm>
                        <a:off x="0" y="0"/>
                        <a:ext cx="104140" cy="153035"/>
                      </a:xfrm>
                      <a:prstGeom prst="rect">
                        <a:avLst/>
                      </a:prstGeom>
                      <a:noFill/>
                      <a:ln>
                        <a:noFill/>
                      </a:ln>
                    </wps:spPr>
                    <wps:txbx>
                      <w:txbxContent>
                        <w:p>
                          <w:pPr>
                            <w:snapToGrid w:val="0"/>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3" o:spid="_x0000_s1026" o:spt="202" type="#_x0000_t202" style="position:absolute;left:0pt;margin-top:0pt;height:12.05pt;width:8.2pt;mso-position-horizontal:center;mso-position-horizontal-relative:margin;mso-wrap-style:none;z-index:251661312;mso-width-relative:page;mso-height-relative:page;" filled="f" stroked="f" coordsize="21600,21600" o:gfxdata="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5ORndEAAAADAQAADwAAAAAA&#10;AAABACAAAAAiAAAAZHJzL2Rvd25yZXYueG1sUEsBAhQAFAAAAAgAh07iQI+fGLLhAQAA0wMAAA4A&#10;AAAAAAAAAQAgAAAAIAEAAGRycy9lMm9Eb2MueG1sUEsFBgAAAAAGAAYAWQEAAHMFAAAAAA==&#10;">
              <v:fill on="f" focussize="0,0"/>
              <v:stroke on="f"/>
              <v:imagedata o:title=""/>
              <o:lock v:ext="edit" aspectratio="f"/>
              <v:textbox inset="0mm,0mm,0mm,0mm" style="mso-fit-shape-to-text:t;">
                <w:txbxContent>
                  <w:p>
                    <w:pPr>
                      <w:snapToGrid w:val="0"/>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p>
    <w:pPr>
      <w:pStyle w:val="2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3</w:t>
    </w:r>
    <w:r>
      <w:rPr>
        <w:rFonts w:ascii="宋体" w:hAnsi="宋体"/>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top w:val="none" w:color="auto" w:sz="0" w:space="1"/>
        <w:left w:val="none" w:color="auto" w:sz="0" w:space="4"/>
        <w:bottom w:val="none" w:color="auto" w:sz="0" w:space="1"/>
        <w:right w:val="none" w:color="auto" w:sz="0" w:space="4"/>
      </w:pBdr>
    </w:pPr>
  </w:p>
  <w:p>
    <w:pPr>
      <w:pStyle w:val="24"/>
      <w:pBdr>
        <w:top w:val="none" w:color="auto" w:sz="0" w:space="1"/>
        <w:left w:val="none" w:color="auto" w:sz="0" w:space="4"/>
        <w:bottom w:val="none" w:color="auto" w:sz="0" w:space="1"/>
        <w:right w:val="none" w:color="auto" w:sz="0" w:space="4"/>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1"/>
        <w:left w:val="none" w:color="auto" w:sz="0" w:space="4"/>
        <w:bottom w:val="single" w:color="auto" w:sz="4" w:space="1"/>
        <w:right w:val="none" w:color="auto" w:sz="0" w:space="4"/>
      </w:pBdr>
      <w:jc w:val="center"/>
    </w:pPr>
  </w:p>
  <w:p>
    <w:pPr>
      <w:pBdr>
        <w:top w:val="none" w:color="auto" w:sz="0" w:space="1"/>
        <w:left w:val="none" w:color="auto" w:sz="0" w:space="4"/>
        <w:bottom w:val="single" w:color="auto" w:sz="4" w:space="1"/>
        <w:right w:val="none" w:color="auto" w:sz="0" w:space="4"/>
      </w:pBdr>
      <w:jc w:val="center"/>
    </w:pPr>
  </w:p>
  <w:p>
    <w:pPr>
      <w:pBdr>
        <w:top w:val="none" w:color="auto" w:sz="0" w:space="1"/>
        <w:left w:val="none" w:color="auto" w:sz="0" w:space="4"/>
        <w:bottom w:val="single" w:color="auto" w:sz="4" w:space="1"/>
        <w:right w:val="none" w:color="auto" w:sz="0" w:space="4"/>
      </w:pBdr>
      <w:jc w:val="center"/>
    </w:pPr>
  </w:p>
  <w:p>
    <w:pPr>
      <w:pBdr>
        <w:top w:val="none" w:color="auto" w:sz="0" w:space="1"/>
        <w:left w:val="none" w:color="auto" w:sz="0" w:space="4"/>
        <w:bottom w:val="none" w:color="auto" w:sz="0" w:space="1"/>
        <w:right w:val="none" w:color="auto" w:sz="0" w:space="4"/>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B8747E"/>
    <w:multiLevelType w:val="multilevel"/>
    <w:tmpl w:val="FEB8747E"/>
    <w:lvl w:ilvl="0" w:tentative="0">
      <w:start w:val="1"/>
      <w:numFmt w:val="chineseCounting"/>
      <w:pStyle w:val="3"/>
      <w:suff w:val="nothing"/>
      <w:lvlText w:val="%1、"/>
      <w:lvlJc w:val="center"/>
      <w:pPr>
        <w:tabs>
          <w:tab w:val="left" w:pos="420"/>
        </w:tabs>
        <w:ind w:left="432" w:hanging="432"/>
      </w:pPr>
      <w:rPr>
        <w:rFonts w:hint="eastAsia" w:ascii="宋体" w:hAnsi="宋体" w:eastAsia="宋体" w:cs="宋体"/>
      </w:rPr>
    </w:lvl>
    <w:lvl w:ilvl="1" w:tentative="0">
      <w:start w:val="1"/>
      <w:numFmt w:val="decimal"/>
      <w:lvlRestart w:val="0"/>
      <w:pStyle w:val="4"/>
      <w:suff w:val="nothing"/>
      <w:lvlText w:val="%2."/>
      <w:lvlJc w:val="left"/>
      <w:pPr>
        <w:tabs>
          <w:tab w:val="left" w:pos="0"/>
        </w:tabs>
        <w:ind w:left="576" w:hanging="576"/>
      </w:pPr>
      <w:rPr>
        <w:rFonts w:hint="eastAsia" w:ascii="宋体" w:hAnsi="宋体" w:eastAsia="宋体" w:cs="宋体"/>
      </w:rPr>
    </w:lvl>
    <w:lvl w:ilvl="2" w:tentative="0">
      <w:start w:val="1"/>
      <w:numFmt w:val="decimal"/>
      <w:pStyle w:val="5"/>
      <w:suff w:val="space"/>
      <w:lvlText w:val="%2.%3"/>
      <w:lvlJc w:val="left"/>
      <w:pPr>
        <w:tabs>
          <w:tab w:val="left" w:pos="420"/>
        </w:tabs>
        <w:ind w:left="720" w:hanging="720"/>
      </w:pPr>
      <w:rPr>
        <w:rFonts w:hint="eastAsia" w:ascii="宋体" w:hAnsi="宋体" w:eastAsia="宋体" w:cs="宋体"/>
      </w:rPr>
    </w:lvl>
    <w:lvl w:ilvl="3" w:tentative="0">
      <w:start w:val="1"/>
      <w:numFmt w:val="decimal"/>
      <w:pStyle w:val="2"/>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1">
    <w:nsid w:val="020B9A4B"/>
    <w:multiLevelType w:val="singleLevel"/>
    <w:tmpl w:val="020B9A4B"/>
    <w:lvl w:ilvl="0" w:tentative="0">
      <w:start w:val="1"/>
      <w:numFmt w:val="chineseCounting"/>
      <w:suff w:val="nothing"/>
      <w:lvlText w:val="（%1）"/>
      <w:lvlJc w:val="left"/>
      <w:rPr>
        <w:rFonts w:hint="eastAsia"/>
      </w:rPr>
    </w:lvl>
  </w:abstractNum>
  <w:abstractNum w:abstractNumId="2">
    <w:nsid w:val="44C50F90"/>
    <w:multiLevelType w:val="multilevel"/>
    <w:tmpl w:val="44C50F90"/>
    <w:lvl w:ilvl="0" w:tentative="0">
      <w:start w:val="1"/>
      <w:numFmt w:val="lowerLetter"/>
      <w:pStyle w:val="104"/>
      <w:lvlText w:val="%1)"/>
      <w:lvlJc w:val="left"/>
      <w:pPr>
        <w:tabs>
          <w:tab w:val="left" w:pos="1128"/>
        </w:tabs>
        <w:ind w:left="1128" w:hanging="419"/>
      </w:pPr>
      <w:rPr>
        <w:rFonts w:hint="eastAsia" w:ascii="宋体" w:hAnsi="宋体" w:eastAsia="宋体"/>
        <w:b w:val="0"/>
        <w:i w:val="0"/>
        <w:sz w:val="20"/>
        <w:szCs w:val="21"/>
        <w:lang w:val="en-US"/>
      </w:rPr>
    </w:lvl>
    <w:lvl w:ilvl="1" w:tentative="0">
      <w:start w:val="1"/>
      <w:numFmt w:val="decimal"/>
      <w:pStyle w:val="103"/>
      <w:lvlText w:val="%2)"/>
      <w:lvlJc w:val="left"/>
      <w:pPr>
        <w:tabs>
          <w:tab w:val="left" w:pos="1548"/>
        </w:tabs>
        <w:ind w:left="1548" w:hanging="420"/>
      </w:pPr>
      <w:rPr>
        <w:rFonts w:hint="eastAsia" w:ascii="宋体" w:hAnsi="宋体" w:eastAsia="宋体"/>
        <w:b w:val="0"/>
        <w:i w:val="0"/>
        <w:sz w:val="20"/>
      </w:rPr>
    </w:lvl>
    <w:lvl w:ilvl="2" w:tentative="0">
      <w:start w:val="1"/>
      <w:numFmt w:val="decimal"/>
      <w:lvlText w:val="(%3)"/>
      <w:lvlJc w:val="left"/>
      <w:pPr>
        <w:tabs>
          <w:tab w:val="left" w:pos="289"/>
        </w:tabs>
        <w:ind w:left="1967" w:hanging="419"/>
      </w:pPr>
      <w:rPr>
        <w:rFonts w:hint="eastAsia" w:ascii="宋体" w:hAnsi="宋体" w:eastAsia="宋体"/>
        <w:b w:val="0"/>
        <w:i w:val="0"/>
        <w:sz w:val="20"/>
        <w:szCs w:val="21"/>
      </w:rPr>
    </w:lvl>
    <w:lvl w:ilvl="3" w:tentative="0">
      <w:start w:val="1"/>
      <w:numFmt w:val="decimal"/>
      <w:lvlText w:val="%4."/>
      <w:lvlJc w:val="left"/>
      <w:pPr>
        <w:tabs>
          <w:tab w:val="left" w:pos="2387"/>
        </w:tabs>
        <w:ind w:left="2387" w:hanging="420"/>
      </w:pPr>
      <w:rPr>
        <w:rFonts w:hint="eastAsia"/>
      </w:rPr>
    </w:lvl>
    <w:lvl w:ilvl="4" w:tentative="0">
      <w:start w:val="1"/>
      <w:numFmt w:val="lowerLetter"/>
      <w:lvlText w:val="%5)"/>
      <w:lvlJc w:val="left"/>
      <w:pPr>
        <w:tabs>
          <w:tab w:val="left" w:pos="2806"/>
        </w:tabs>
        <w:ind w:left="2806" w:hanging="419"/>
      </w:pPr>
      <w:rPr>
        <w:rFonts w:hint="eastAsia"/>
      </w:rPr>
    </w:lvl>
    <w:lvl w:ilvl="5" w:tentative="0">
      <w:start w:val="1"/>
      <w:numFmt w:val="lowerRoman"/>
      <w:lvlText w:val="%6."/>
      <w:lvlJc w:val="right"/>
      <w:pPr>
        <w:tabs>
          <w:tab w:val="left" w:pos="3231"/>
        </w:tabs>
        <w:ind w:left="3226" w:hanging="420"/>
      </w:pPr>
      <w:rPr>
        <w:rFonts w:hint="eastAsia"/>
      </w:rPr>
    </w:lvl>
    <w:lvl w:ilvl="6" w:tentative="0">
      <w:start w:val="1"/>
      <w:numFmt w:val="decimal"/>
      <w:lvlText w:val="%7."/>
      <w:lvlJc w:val="left"/>
      <w:pPr>
        <w:tabs>
          <w:tab w:val="left" w:pos="3651"/>
        </w:tabs>
        <w:ind w:left="3645" w:hanging="414"/>
      </w:pPr>
      <w:rPr>
        <w:rFonts w:hint="eastAsia"/>
      </w:rPr>
    </w:lvl>
    <w:lvl w:ilvl="7" w:tentative="0">
      <w:start w:val="1"/>
      <w:numFmt w:val="lowerLetter"/>
      <w:lvlText w:val="%8)"/>
      <w:lvlJc w:val="left"/>
      <w:pPr>
        <w:tabs>
          <w:tab w:val="left" w:pos="4070"/>
        </w:tabs>
        <w:ind w:left="4065" w:hanging="414"/>
      </w:pPr>
      <w:rPr>
        <w:rFonts w:hint="eastAsia"/>
      </w:rPr>
    </w:lvl>
    <w:lvl w:ilvl="8" w:tentative="0">
      <w:start w:val="1"/>
      <w:numFmt w:val="lowerRoman"/>
      <w:lvlText w:val="%9."/>
      <w:lvlJc w:val="right"/>
      <w:pPr>
        <w:tabs>
          <w:tab w:val="left" w:pos="4490"/>
        </w:tabs>
        <w:ind w:left="4490" w:hanging="420"/>
      </w:pPr>
      <w:rPr>
        <w:rFonts w:hint="eastAsia"/>
      </w:rPr>
    </w:lvl>
  </w:abstractNum>
  <w:abstractNum w:abstractNumId="3">
    <w:nsid w:val="4EA4286E"/>
    <w:multiLevelType w:val="multilevel"/>
    <w:tmpl w:val="4EA4286E"/>
    <w:lvl w:ilvl="0" w:tentative="0">
      <w:start w:val="1"/>
      <w:numFmt w:val="decimal"/>
      <w:pStyle w:val="95"/>
      <w:lvlText w:val="图4-%1"/>
      <w:lvlJc w:val="left"/>
      <w:pPr>
        <w:ind w:left="6941"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0CB4C2B"/>
    <w:multiLevelType w:val="multilevel"/>
    <w:tmpl w:val="50CB4C2B"/>
    <w:lvl w:ilvl="0" w:tentative="0">
      <w:start w:val="1"/>
      <w:numFmt w:val="decimal"/>
      <w:lvlText w:val="%1"/>
      <w:lvlJc w:val="left"/>
      <w:pPr>
        <w:ind w:left="425" w:hanging="425"/>
      </w:pPr>
      <w:rPr>
        <w:rFonts w:hint="default"/>
        <w:lang w:val="en-US"/>
      </w:rPr>
    </w:lvl>
    <w:lvl w:ilvl="1" w:tentative="0">
      <w:start w:val="1"/>
      <w:numFmt w:val="decimal"/>
      <w:lvlText w:val="%1.%2"/>
      <w:lvlJc w:val="left"/>
      <w:pPr>
        <w:ind w:left="992" w:hanging="567"/>
      </w:pPr>
      <w:rPr>
        <w:rFonts w:hint="eastAsia"/>
      </w:rPr>
    </w:lvl>
    <w:lvl w:ilvl="2" w:tentative="0">
      <w:start w:val="1"/>
      <w:numFmt w:val="decimal"/>
      <w:pStyle w:val="101"/>
      <w:lvlText w:val="%1.%2.%3"/>
      <w:lvlJc w:val="left"/>
      <w:pPr>
        <w:ind w:left="1247" w:hanging="510"/>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76310F18"/>
    <w:multiLevelType w:val="multilevel"/>
    <w:tmpl w:val="76310F18"/>
    <w:lvl w:ilvl="0" w:tentative="0">
      <w:start w:val="1"/>
      <w:numFmt w:val="decimal"/>
      <w:pStyle w:val="100"/>
      <w:lvlText w:val="表5-%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5"/>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NjhiMTY3YjQwNjEyZDA0ODliODkxMGRmZTAwNDEifQ=="/>
    <w:docVar w:name="KSO_WPS_MARK_KEY" w:val="578053fd-5082-4fe2-9882-86ba86980c19"/>
  </w:docVars>
  <w:rsids>
    <w:rsidRoot w:val="00EC7C7A"/>
    <w:rsid w:val="00014572"/>
    <w:rsid w:val="0002063A"/>
    <w:rsid w:val="00024431"/>
    <w:rsid w:val="00024626"/>
    <w:rsid w:val="00025491"/>
    <w:rsid w:val="00031DA4"/>
    <w:rsid w:val="00037AEE"/>
    <w:rsid w:val="00042F9F"/>
    <w:rsid w:val="00045CDD"/>
    <w:rsid w:val="0004675C"/>
    <w:rsid w:val="00050347"/>
    <w:rsid w:val="0005272C"/>
    <w:rsid w:val="00052BE6"/>
    <w:rsid w:val="00053CF5"/>
    <w:rsid w:val="0005575F"/>
    <w:rsid w:val="0006057D"/>
    <w:rsid w:val="00063DDD"/>
    <w:rsid w:val="000657DD"/>
    <w:rsid w:val="00067566"/>
    <w:rsid w:val="00067ED3"/>
    <w:rsid w:val="000726AE"/>
    <w:rsid w:val="00080800"/>
    <w:rsid w:val="00086049"/>
    <w:rsid w:val="00091072"/>
    <w:rsid w:val="000940FE"/>
    <w:rsid w:val="0009766D"/>
    <w:rsid w:val="00097B91"/>
    <w:rsid w:val="000A0197"/>
    <w:rsid w:val="000A4BF4"/>
    <w:rsid w:val="000A72C4"/>
    <w:rsid w:val="000B0E6A"/>
    <w:rsid w:val="000B7AE9"/>
    <w:rsid w:val="000C220C"/>
    <w:rsid w:val="000C7241"/>
    <w:rsid w:val="000D1C99"/>
    <w:rsid w:val="000E0F39"/>
    <w:rsid w:val="000F0A0F"/>
    <w:rsid w:val="000F4C5D"/>
    <w:rsid w:val="000F5DED"/>
    <w:rsid w:val="00103B16"/>
    <w:rsid w:val="00111A1E"/>
    <w:rsid w:val="00113EAD"/>
    <w:rsid w:val="001149B0"/>
    <w:rsid w:val="00114AA9"/>
    <w:rsid w:val="00115A07"/>
    <w:rsid w:val="00116B37"/>
    <w:rsid w:val="00123509"/>
    <w:rsid w:val="00125159"/>
    <w:rsid w:val="001255BA"/>
    <w:rsid w:val="001277CC"/>
    <w:rsid w:val="0013003B"/>
    <w:rsid w:val="00131562"/>
    <w:rsid w:val="001509AB"/>
    <w:rsid w:val="0015332D"/>
    <w:rsid w:val="00163D6E"/>
    <w:rsid w:val="00164DB6"/>
    <w:rsid w:val="0016561A"/>
    <w:rsid w:val="00165B25"/>
    <w:rsid w:val="00173B49"/>
    <w:rsid w:val="00175142"/>
    <w:rsid w:val="0017743F"/>
    <w:rsid w:val="001776D8"/>
    <w:rsid w:val="00182580"/>
    <w:rsid w:val="00182ADB"/>
    <w:rsid w:val="001868AD"/>
    <w:rsid w:val="00194850"/>
    <w:rsid w:val="00194F5B"/>
    <w:rsid w:val="001B2C15"/>
    <w:rsid w:val="001B2F05"/>
    <w:rsid w:val="001B6837"/>
    <w:rsid w:val="001C641A"/>
    <w:rsid w:val="001C70EA"/>
    <w:rsid w:val="001D12CC"/>
    <w:rsid w:val="001D2319"/>
    <w:rsid w:val="001D283F"/>
    <w:rsid w:val="001D4970"/>
    <w:rsid w:val="001E2055"/>
    <w:rsid w:val="001E297F"/>
    <w:rsid w:val="001E708B"/>
    <w:rsid w:val="001F1DE1"/>
    <w:rsid w:val="00200F22"/>
    <w:rsid w:val="00202D09"/>
    <w:rsid w:val="00203A21"/>
    <w:rsid w:val="002044D8"/>
    <w:rsid w:val="0021001C"/>
    <w:rsid w:val="0021260B"/>
    <w:rsid w:val="002134CF"/>
    <w:rsid w:val="00226244"/>
    <w:rsid w:val="00226B26"/>
    <w:rsid w:val="00241D6A"/>
    <w:rsid w:val="0024492C"/>
    <w:rsid w:val="00247020"/>
    <w:rsid w:val="002513D3"/>
    <w:rsid w:val="002561E9"/>
    <w:rsid w:val="00261993"/>
    <w:rsid w:val="002667DE"/>
    <w:rsid w:val="00272303"/>
    <w:rsid w:val="00276848"/>
    <w:rsid w:val="00277BCD"/>
    <w:rsid w:val="0028119E"/>
    <w:rsid w:val="00282D7F"/>
    <w:rsid w:val="00284302"/>
    <w:rsid w:val="00290410"/>
    <w:rsid w:val="00291160"/>
    <w:rsid w:val="00291E28"/>
    <w:rsid w:val="00292863"/>
    <w:rsid w:val="0029417F"/>
    <w:rsid w:val="0029782D"/>
    <w:rsid w:val="002A0921"/>
    <w:rsid w:val="002A1D64"/>
    <w:rsid w:val="002A3144"/>
    <w:rsid w:val="002A67A7"/>
    <w:rsid w:val="002A689B"/>
    <w:rsid w:val="002A7EF5"/>
    <w:rsid w:val="002B151D"/>
    <w:rsid w:val="002B2AE5"/>
    <w:rsid w:val="002B5CEC"/>
    <w:rsid w:val="002B797E"/>
    <w:rsid w:val="002C1446"/>
    <w:rsid w:val="002C29A5"/>
    <w:rsid w:val="002C4475"/>
    <w:rsid w:val="002C7EEB"/>
    <w:rsid w:val="002D50A5"/>
    <w:rsid w:val="002D73F6"/>
    <w:rsid w:val="002E3226"/>
    <w:rsid w:val="002E7EFB"/>
    <w:rsid w:val="002F0244"/>
    <w:rsid w:val="002F2142"/>
    <w:rsid w:val="002F2429"/>
    <w:rsid w:val="002F2751"/>
    <w:rsid w:val="002F2E25"/>
    <w:rsid w:val="002F2EFF"/>
    <w:rsid w:val="002F350C"/>
    <w:rsid w:val="002F5F07"/>
    <w:rsid w:val="0030499B"/>
    <w:rsid w:val="00306672"/>
    <w:rsid w:val="003078EE"/>
    <w:rsid w:val="0031554F"/>
    <w:rsid w:val="00316917"/>
    <w:rsid w:val="00320616"/>
    <w:rsid w:val="00322328"/>
    <w:rsid w:val="003274FA"/>
    <w:rsid w:val="00327E51"/>
    <w:rsid w:val="00331B76"/>
    <w:rsid w:val="00332436"/>
    <w:rsid w:val="00332EF1"/>
    <w:rsid w:val="00333465"/>
    <w:rsid w:val="00334975"/>
    <w:rsid w:val="003405BF"/>
    <w:rsid w:val="003413E5"/>
    <w:rsid w:val="00342105"/>
    <w:rsid w:val="0034442B"/>
    <w:rsid w:val="003449CC"/>
    <w:rsid w:val="003469DC"/>
    <w:rsid w:val="00351240"/>
    <w:rsid w:val="00352847"/>
    <w:rsid w:val="00353610"/>
    <w:rsid w:val="003557FC"/>
    <w:rsid w:val="00355B96"/>
    <w:rsid w:val="0035666F"/>
    <w:rsid w:val="00361D22"/>
    <w:rsid w:val="00365853"/>
    <w:rsid w:val="00367F61"/>
    <w:rsid w:val="003718D4"/>
    <w:rsid w:val="00372818"/>
    <w:rsid w:val="0038066A"/>
    <w:rsid w:val="00381EAB"/>
    <w:rsid w:val="00383F73"/>
    <w:rsid w:val="00384D3A"/>
    <w:rsid w:val="00390E48"/>
    <w:rsid w:val="0039138E"/>
    <w:rsid w:val="00394256"/>
    <w:rsid w:val="003A0B13"/>
    <w:rsid w:val="003A181C"/>
    <w:rsid w:val="003A5525"/>
    <w:rsid w:val="003B5B5E"/>
    <w:rsid w:val="003B75C7"/>
    <w:rsid w:val="003B7B69"/>
    <w:rsid w:val="003C6CC9"/>
    <w:rsid w:val="003C7311"/>
    <w:rsid w:val="003C7DD2"/>
    <w:rsid w:val="003D1B6B"/>
    <w:rsid w:val="003D40D9"/>
    <w:rsid w:val="003E07CD"/>
    <w:rsid w:val="003E4BF2"/>
    <w:rsid w:val="003E57EB"/>
    <w:rsid w:val="003E7738"/>
    <w:rsid w:val="003F1CEA"/>
    <w:rsid w:val="003F270B"/>
    <w:rsid w:val="003F2762"/>
    <w:rsid w:val="003F75DF"/>
    <w:rsid w:val="004000BF"/>
    <w:rsid w:val="00400B06"/>
    <w:rsid w:val="00406810"/>
    <w:rsid w:val="00412231"/>
    <w:rsid w:val="00412495"/>
    <w:rsid w:val="00414A9E"/>
    <w:rsid w:val="00426B16"/>
    <w:rsid w:val="00427EA4"/>
    <w:rsid w:val="004311B0"/>
    <w:rsid w:val="00431845"/>
    <w:rsid w:val="00436851"/>
    <w:rsid w:val="00436979"/>
    <w:rsid w:val="00440084"/>
    <w:rsid w:val="004405A3"/>
    <w:rsid w:val="0044063E"/>
    <w:rsid w:val="00440ED8"/>
    <w:rsid w:val="0044212C"/>
    <w:rsid w:val="004424E3"/>
    <w:rsid w:val="004425C5"/>
    <w:rsid w:val="00443B2C"/>
    <w:rsid w:val="004478D3"/>
    <w:rsid w:val="00450388"/>
    <w:rsid w:val="00453B65"/>
    <w:rsid w:val="004555DF"/>
    <w:rsid w:val="00456020"/>
    <w:rsid w:val="004658C4"/>
    <w:rsid w:val="00465E87"/>
    <w:rsid w:val="004729F8"/>
    <w:rsid w:val="004818B3"/>
    <w:rsid w:val="00487EC4"/>
    <w:rsid w:val="00492BB1"/>
    <w:rsid w:val="004966C0"/>
    <w:rsid w:val="00497CDC"/>
    <w:rsid w:val="004A3FF3"/>
    <w:rsid w:val="004A480F"/>
    <w:rsid w:val="004A5AF7"/>
    <w:rsid w:val="004B0992"/>
    <w:rsid w:val="004B7085"/>
    <w:rsid w:val="004C20DF"/>
    <w:rsid w:val="004C5FF4"/>
    <w:rsid w:val="004D0557"/>
    <w:rsid w:val="004D0880"/>
    <w:rsid w:val="004E0667"/>
    <w:rsid w:val="004E19DA"/>
    <w:rsid w:val="004E1F17"/>
    <w:rsid w:val="004E4320"/>
    <w:rsid w:val="004E52E9"/>
    <w:rsid w:val="004F1810"/>
    <w:rsid w:val="004F2028"/>
    <w:rsid w:val="004F63C2"/>
    <w:rsid w:val="004F7A4A"/>
    <w:rsid w:val="00507F71"/>
    <w:rsid w:val="00513C23"/>
    <w:rsid w:val="00515009"/>
    <w:rsid w:val="00522C2D"/>
    <w:rsid w:val="0053203C"/>
    <w:rsid w:val="00534532"/>
    <w:rsid w:val="00540E4B"/>
    <w:rsid w:val="005417AF"/>
    <w:rsid w:val="00543D3A"/>
    <w:rsid w:val="0054773B"/>
    <w:rsid w:val="00547ABA"/>
    <w:rsid w:val="00547EEA"/>
    <w:rsid w:val="00554CD9"/>
    <w:rsid w:val="00560E44"/>
    <w:rsid w:val="00561F3A"/>
    <w:rsid w:val="00563C57"/>
    <w:rsid w:val="00573290"/>
    <w:rsid w:val="00575A77"/>
    <w:rsid w:val="00576590"/>
    <w:rsid w:val="005942D1"/>
    <w:rsid w:val="00595095"/>
    <w:rsid w:val="00595310"/>
    <w:rsid w:val="005965B9"/>
    <w:rsid w:val="005975A7"/>
    <w:rsid w:val="005A1185"/>
    <w:rsid w:val="005A132A"/>
    <w:rsid w:val="005A1BC7"/>
    <w:rsid w:val="005A2C49"/>
    <w:rsid w:val="005A39A7"/>
    <w:rsid w:val="005A4E8D"/>
    <w:rsid w:val="005A5E87"/>
    <w:rsid w:val="005C204B"/>
    <w:rsid w:val="005C2D80"/>
    <w:rsid w:val="005D0633"/>
    <w:rsid w:val="005D40D0"/>
    <w:rsid w:val="005D7B1E"/>
    <w:rsid w:val="005E35D0"/>
    <w:rsid w:val="005E5208"/>
    <w:rsid w:val="005F5C1C"/>
    <w:rsid w:val="005F7AC6"/>
    <w:rsid w:val="0060022A"/>
    <w:rsid w:val="00601210"/>
    <w:rsid w:val="006012EF"/>
    <w:rsid w:val="0060546A"/>
    <w:rsid w:val="00607D78"/>
    <w:rsid w:val="00607F59"/>
    <w:rsid w:val="006122C1"/>
    <w:rsid w:val="006145DB"/>
    <w:rsid w:val="00621069"/>
    <w:rsid w:val="00621F72"/>
    <w:rsid w:val="00630B4E"/>
    <w:rsid w:val="0063164A"/>
    <w:rsid w:val="00633700"/>
    <w:rsid w:val="00634870"/>
    <w:rsid w:val="00635DB4"/>
    <w:rsid w:val="00642535"/>
    <w:rsid w:val="00645CB5"/>
    <w:rsid w:val="0064728C"/>
    <w:rsid w:val="00656C21"/>
    <w:rsid w:val="00657FAF"/>
    <w:rsid w:val="00662613"/>
    <w:rsid w:val="00664C9C"/>
    <w:rsid w:val="00667891"/>
    <w:rsid w:val="00670D47"/>
    <w:rsid w:val="00670ECE"/>
    <w:rsid w:val="00671FEB"/>
    <w:rsid w:val="00672CC2"/>
    <w:rsid w:val="00673962"/>
    <w:rsid w:val="00674ED2"/>
    <w:rsid w:val="006813E7"/>
    <w:rsid w:val="006822B3"/>
    <w:rsid w:val="00683BD6"/>
    <w:rsid w:val="00684436"/>
    <w:rsid w:val="00685902"/>
    <w:rsid w:val="0068615E"/>
    <w:rsid w:val="00686827"/>
    <w:rsid w:val="00687273"/>
    <w:rsid w:val="006964F3"/>
    <w:rsid w:val="00696573"/>
    <w:rsid w:val="00697A43"/>
    <w:rsid w:val="006A5D89"/>
    <w:rsid w:val="006A6499"/>
    <w:rsid w:val="006A6D1F"/>
    <w:rsid w:val="006B121B"/>
    <w:rsid w:val="006B25FE"/>
    <w:rsid w:val="006C0388"/>
    <w:rsid w:val="006C721A"/>
    <w:rsid w:val="006C7909"/>
    <w:rsid w:val="006D2B03"/>
    <w:rsid w:val="006D724B"/>
    <w:rsid w:val="006E19F7"/>
    <w:rsid w:val="006F226B"/>
    <w:rsid w:val="006F2525"/>
    <w:rsid w:val="006F27BB"/>
    <w:rsid w:val="006F4E58"/>
    <w:rsid w:val="006F5492"/>
    <w:rsid w:val="00705EF6"/>
    <w:rsid w:val="00710459"/>
    <w:rsid w:val="00715860"/>
    <w:rsid w:val="0071686C"/>
    <w:rsid w:val="00720EEF"/>
    <w:rsid w:val="007263E6"/>
    <w:rsid w:val="007272A8"/>
    <w:rsid w:val="00730CB9"/>
    <w:rsid w:val="00733755"/>
    <w:rsid w:val="00734741"/>
    <w:rsid w:val="00743DFC"/>
    <w:rsid w:val="00744F6E"/>
    <w:rsid w:val="007515B9"/>
    <w:rsid w:val="00754ADE"/>
    <w:rsid w:val="00763855"/>
    <w:rsid w:val="00767126"/>
    <w:rsid w:val="00767764"/>
    <w:rsid w:val="00771C61"/>
    <w:rsid w:val="00781FBB"/>
    <w:rsid w:val="0078630A"/>
    <w:rsid w:val="00790BCE"/>
    <w:rsid w:val="0079345A"/>
    <w:rsid w:val="00794F24"/>
    <w:rsid w:val="007A5C1B"/>
    <w:rsid w:val="007B1268"/>
    <w:rsid w:val="007B1E78"/>
    <w:rsid w:val="007B65B3"/>
    <w:rsid w:val="007B7473"/>
    <w:rsid w:val="007C0249"/>
    <w:rsid w:val="007C56CE"/>
    <w:rsid w:val="007D08CB"/>
    <w:rsid w:val="007D2DEE"/>
    <w:rsid w:val="007E042E"/>
    <w:rsid w:val="007E0BA0"/>
    <w:rsid w:val="007E570C"/>
    <w:rsid w:val="007E6FE0"/>
    <w:rsid w:val="007E70C7"/>
    <w:rsid w:val="007F151A"/>
    <w:rsid w:val="007F1785"/>
    <w:rsid w:val="007F182D"/>
    <w:rsid w:val="007F53D8"/>
    <w:rsid w:val="007F5C72"/>
    <w:rsid w:val="00802D3A"/>
    <w:rsid w:val="00803039"/>
    <w:rsid w:val="00803627"/>
    <w:rsid w:val="00807B97"/>
    <w:rsid w:val="00807C73"/>
    <w:rsid w:val="0081187A"/>
    <w:rsid w:val="0081304F"/>
    <w:rsid w:val="00813394"/>
    <w:rsid w:val="00814944"/>
    <w:rsid w:val="00816945"/>
    <w:rsid w:val="00820C7F"/>
    <w:rsid w:val="00821EBF"/>
    <w:rsid w:val="00822E64"/>
    <w:rsid w:val="00823AEC"/>
    <w:rsid w:val="008327CE"/>
    <w:rsid w:val="008379F3"/>
    <w:rsid w:val="008405E8"/>
    <w:rsid w:val="0084478F"/>
    <w:rsid w:val="00846E9B"/>
    <w:rsid w:val="008523BD"/>
    <w:rsid w:val="00853532"/>
    <w:rsid w:val="00863837"/>
    <w:rsid w:val="008669AC"/>
    <w:rsid w:val="008670D5"/>
    <w:rsid w:val="00867B48"/>
    <w:rsid w:val="00870D74"/>
    <w:rsid w:val="0087163B"/>
    <w:rsid w:val="008743A3"/>
    <w:rsid w:val="00885DC9"/>
    <w:rsid w:val="00886666"/>
    <w:rsid w:val="00886F0C"/>
    <w:rsid w:val="00891228"/>
    <w:rsid w:val="00891B38"/>
    <w:rsid w:val="0089303B"/>
    <w:rsid w:val="008A2866"/>
    <w:rsid w:val="008A2BFE"/>
    <w:rsid w:val="008A3910"/>
    <w:rsid w:val="008A4342"/>
    <w:rsid w:val="008A4919"/>
    <w:rsid w:val="008A7818"/>
    <w:rsid w:val="008B10EC"/>
    <w:rsid w:val="008B1BF1"/>
    <w:rsid w:val="008B1C5C"/>
    <w:rsid w:val="008B2E0C"/>
    <w:rsid w:val="008B6113"/>
    <w:rsid w:val="008C1ADE"/>
    <w:rsid w:val="008C5C3C"/>
    <w:rsid w:val="008C720D"/>
    <w:rsid w:val="008D07C5"/>
    <w:rsid w:val="008D1551"/>
    <w:rsid w:val="008D2613"/>
    <w:rsid w:val="008D2D55"/>
    <w:rsid w:val="008D336E"/>
    <w:rsid w:val="008D3875"/>
    <w:rsid w:val="008E163C"/>
    <w:rsid w:val="008E3789"/>
    <w:rsid w:val="008E6C47"/>
    <w:rsid w:val="008E7F13"/>
    <w:rsid w:val="008F3798"/>
    <w:rsid w:val="008F64BF"/>
    <w:rsid w:val="008F7028"/>
    <w:rsid w:val="008F718C"/>
    <w:rsid w:val="008F7FB1"/>
    <w:rsid w:val="00901B62"/>
    <w:rsid w:val="00902251"/>
    <w:rsid w:val="009032C2"/>
    <w:rsid w:val="00903764"/>
    <w:rsid w:val="00903AD4"/>
    <w:rsid w:val="009063A5"/>
    <w:rsid w:val="00907F72"/>
    <w:rsid w:val="009119A3"/>
    <w:rsid w:val="00912380"/>
    <w:rsid w:val="00914A1C"/>
    <w:rsid w:val="009156BA"/>
    <w:rsid w:val="00916096"/>
    <w:rsid w:val="009172A6"/>
    <w:rsid w:val="00926E05"/>
    <w:rsid w:val="00927823"/>
    <w:rsid w:val="00940C60"/>
    <w:rsid w:val="00942BD5"/>
    <w:rsid w:val="00943E0F"/>
    <w:rsid w:val="0094452D"/>
    <w:rsid w:val="00946105"/>
    <w:rsid w:val="0095023F"/>
    <w:rsid w:val="00950F1F"/>
    <w:rsid w:val="0095138C"/>
    <w:rsid w:val="00955272"/>
    <w:rsid w:val="00983EC9"/>
    <w:rsid w:val="00984530"/>
    <w:rsid w:val="00984F3F"/>
    <w:rsid w:val="00985CF0"/>
    <w:rsid w:val="009909E1"/>
    <w:rsid w:val="00990C2A"/>
    <w:rsid w:val="009938B0"/>
    <w:rsid w:val="009A4826"/>
    <w:rsid w:val="009B02C1"/>
    <w:rsid w:val="009B4C9E"/>
    <w:rsid w:val="009D0DDE"/>
    <w:rsid w:val="009D4AD2"/>
    <w:rsid w:val="009D6779"/>
    <w:rsid w:val="009D6FF9"/>
    <w:rsid w:val="009E00E7"/>
    <w:rsid w:val="009E5EDC"/>
    <w:rsid w:val="009E6042"/>
    <w:rsid w:val="009E76FB"/>
    <w:rsid w:val="009F71CE"/>
    <w:rsid w:val="00A04C94"/>
    <w:rsid w:val="00A051DC"/>
    <w:rsid w:val="00A06C08"/>
    <w:rsid w:val="00A1096E"/>
    <w:rsid w:val="00A11263"/>
    <w:rsid w:val="00A12A30"/>
    <w:rsid w:val="00A147F2"/>
    <w:rsid w:val="00A17239"/>
    <w:rsid w:val="00A20491"/>
    <w:rsid w:val="00A22551"/>
    <w:rsid w:val="00A2383C"/>
    <w:rsid w:val="00A32BA0"/>
    <w:rsid w:val="00A3370D"/>
    <w:rsid w:val="00A465C7"/>
    <w:rsid w:val="00A47843"/>
    <w:rsid w:val="00A50E89"/>
    <w:rsid w:val="00A52E28"/>
    <w:rsid w:val="00A54272"/>
    <w:rsid w:val="00A62A2D"/>
    <w:rsid w:val="00A62D61"/>
    <w:rsid w:val="00A64AD7"/>
    <w:rsid w:val="00A65190"/>
    <w:rsid w:val="00A81868"/>
    <w:rsid w:val="00A82853"/>
    <w:rsid w:val="00A84108"/>
    <w:rsid w:val="00A94CCA"/>
    <w:rsid w:val="00A959F4"/>
    <w:rsid w:val="00AA1766"/>
    <w:rsid w:val="00AA3E7F"/>
    <w:rsid w:val="00AB11CF"/>
    <w:rsid w:val="00AB215D"/>
    <w:rsid w:val="00AB2321"/>
    <w:rsid w:val="00AB23B1"/>
    <w:rsid w:val="00AB532F"/>
    <w:rsid w:val="00AB6CAE"/>
    <w:rsid w:val="00AC28AE"/>
    <w:rsid w:val="00AC36AB"/>
    <w:rsid w:val="00AC4C07"/>
    <w:rsid w:val="00AC6A2F"/>
    <w:rsid w:val="00AC76F3"/>
    <w:rsid w:val="00AD069D"/>
    <w:rsid w:val="00AD4A3E"/>
    <w:rsid w:val="00AD5F19"/>
    <w:rsid w:val="00AD60B8"/>
    <w:rsid w:val="00AD734C"/>
    <w:rsid w:val="00AE0A17"/>
    <w:rsid w:val="00AE0FA7"/>
    <w:rsid w:val="00AE1DC2"/>
    <w:rsid w:val="00AE6050"/>
    <w:rsid w:val="00AF2F40"/>
    <w:rsid w:val="00AF6B3D"/>
    <w:rsid w:val="00B01B7A"/>
    <w:rsid w:val="00B02AD3"/>
    <w:rsid w:val="00B10361"/>
    <w:rsid w:val="00B12E0D"/>
    <w:rsid w:val="00B1478B"/>
    <w:rsid w:val="00B147E9"/>
    <w:rsid w:val="00B25E98"/>
    <w:rsid w:val="00B272B8"/>
    <w:rsid w:val="00B314B4"/>
    <w:rsid w:val="00B331B1"/>
    <w:rsid w:val="00B36B35"/>
    <w:rsid w:val="00B43FDD"/>
    <w:rsid w:val="00B474D9"/>
    <w:rsid w:val="00B53B49"/>
    <w:rsid w:val="00B549E6"/>
    <w:rsid w:val="00B57FB1"/>
    <w:rsid w:val="00B601EF"/>
    <w:rsid w:val="00B67ED9"/>
    <w:rsid w:val="00B72442"/>
    <w:rsid w:val="00B728CB"/>
    <w:rsid w:val="00B8200E"/>
    <w:rsid w:val="00B83C3F"/>
    <w:rsid w:val="00B83E43"/>
    <w:rsid w:val="00B90A69"/>
    <w:rsid w:val="00BB0A71"/>
    <w:rsid w:val="00BC0E2F"/>
    <w:rsid w:val="00BC1052"/>
    <w:rsid w:val="00BD44DA"/>
    <w:rsid w:val="00BD6DFE"/>
    <w:rsid w:val="00BE2C51"/>
    <w:rsid w:val="00BE530A"/>
    <w:rsid w:val="00BF2A26"/>
    <w:rsid w:val="00BF3E58"/>
    <w:rsid w:val="00C03814"/>
    <w:rsid w:val="00C11D00"/>
    <w:rsid w:val="00C17A07"/>
    <w:rsid w:val="00C2645D"/>
    <w:rsid w:val="00C271D3"/>
    <w:rsid w:val="00C275F2"/>
    <w:rsid w:val="00C337EB"/>
    <w:rsid w:val="00C3496C"/>
    <w:rsid w:val="00C35739"/>
    <w:rsid w:val="00C35F91"/>
    <w:rsid w:val="00C431D7"/>
    <w:rsid w:val="00C4387C"/>
    <w:rsid w:val="00C446DC"/>
    <w:rsid w:val="00C45910"/>
    <w:rsid w:val="00C56697"/>
    <w:rsid w:val="00C57191"/>
    <w:rsid w:val="00C57AD9"/>
    <w:rsid w:val="00C61DBA"/>
    <w:rsid w:val="00C63528"/>
    <w:rsid w:val="00C63855"/>
    <w:rsid w:val="00C6598A"/>
    <w:rsid w:val="00C659F6"/>
    <w:rsid w:val="00C678B1"/>
    <w:rsid w:val="00C7416E"/>
    <w:rsid w:val="00C77F2B"/>
    <w:rsid w:val="00C80F12"/>
    <w:rsid w:val="00C81679"/>
    <w:rsid w:val="00C90BDE"/>
    <w:rsid w:val="00C91BA6"/>
    <w:rsid w:val="00CA5FC4"/>
    <w:rsid w:val="00CA7DB4"/>
    <w:rsid w:val="00CB231D"/>
    <w:rsid w:val="00CB73A4"/>
    <w:rsid w:val="00CC726B"/>
    <w:rsid w:val="00CC79F0"/>
    <w:rsid w:val="00CC7BF7"/>
    <w:rsid w:val="00CD21F3"/>
    <w:rsid w:val="00CD4810"/>
    <w:rsid w:val="00CD5ADF"/>
    <w:rsid w:val="00CD5EED"/>
    <w:rsid w:val="00CD7B04"/>
    <w:rsid w:val="00CE0027"/>
    <w:rsid w:val="00CE1E16"/>
    <w:rsid w:val="00CE2907"/>
    <w:rsid w:val="00CF01EE"/>
    <w:rsid w:val="00CF2428"/>
    <w:rsid w:val="00CF45F8"/>
    <w:rsid w:val="00CF4736"/>
    <w:rsid w:val="00D01427"/>
    <w:rsid w:val="00D15B7C"/>
    <w:rsid w:val="00D22298"/>
    <w:rsid w:val="00D266FC"/>
    <w:rsid w:val="00D35F68"/>
    <w:rsid w:val="00D3627D"/>
    <w:rsid w:val="00D363DD"/>
    <w:rsid w:val="00D37338"/>
    <w:rsid w:val="00D4607E"/>
    <w:rsid w:val="00D479E4"/>
    <w:rsid w:val="00D50674"/>
    <w:rsid w:val="00D51EE1"/>
    <w:rsid w:val="00D53249"/>
    <w:rsid w:val="00D534B3"/>
    <w:rsid w:val="00D60E28"/>
    <w:rsid w:val="00D64023"/>
    <w:rsid w:val="00D66801"/>
    <w:rsid w:val="00D70BD0"/>
    <w:rsid w:val="00D84FF7"/>
    <w:rsid w:val="00D92518"/>
    <w:rsid w:val="00D96376"/>
    <w:rsid w:val="00DA5444"/>
    <w:rsid w:val="00DA62F8"/>
    <w:rsid w:val="00DA6662"/>
    <w:rsid w:val="00DB1EE6"/>
    <w:rsid w:val="00DB6A26"/>
    <w:rsid w:val="00DB7B12"/>
    <w:rsid w:val="00DC7C4F"/>
    <w:rsid w:val="00DD0383"/>
    <w:rsid w:val="00DD0C20"/>
    <w:rsid w:val="00DD181B"/>
    <w:rsid w:val="00DD1C27"/>
    <w:rsid w:val="00DD2C8E"/>
    <w:rsid w:val="00DD2FAF"/>
    <w:rsid w:val="00DD7984"/>
    <w:rsid w:val="00DE6802"/>
    <w:rsid w:val="00DF305D"/>
    <w:rsid w:val="00DF40F8"/>
    <w:rsid w:val="00DF62D5"/>
    <w:rsid w:val="00DF6AEC"/>
    <w:rsid w:val="00E001C5"/>
    <w:rsid w:val="00E015C9"/>
    <w:rsid w:val="00E01B34"/>
    <w:rsid w:val="00E11EEB"/>
    <w:rsid w:val="00E1252A"/>
    <w:rsid w:val="00E211B9"/>
    <w:rsid w:val="00E3612D"/>
    <w:rsid w:val="00E369EC"/>
    <w:rsid w:val="00E36AF0"/>
    <w:rsid w:val="00E4099E"/>
    <w:rsid w:val="00E43548"/>
    <w:rsid w:val="00E44103"/>
    <w:rsid w:val="00E45149"/>
    <w:rsid w:val="00E46801"/>
    <w:rsid w:val="00E51FE0"/>
    <w:rsid w:val="00E525EB"/>
    <w:rsid w:val="00E534F8"/>
    <w:rsid w:val="00E606C2"/>
    <w:rsid w:val="00E64098"/>
    <w:rsid w:val="00E727DD"/>
    <w:rsid w:val="00E77BBB"/>
    <w:rsid w:val="00E81315"/>
    <w:rsid w:val="00E91804"/>
    <w:rsid w:val="00E9415B"/>
    <w:rsid w:val="00E95AAA"/>
    <w:rsid w:val="00EA0284"/>
    <w:rsid w:val="00EA1B30"/>
    <w:rsid w:val="00EA3021"/>
    <w:rsid w:val="00EB0E22"/>
    <w:rsid w:val="00EB3CF1"/>
    <w:rsid w:val="00EC1016"/>
    <w:rsid w:val="00EC3109"/>
    <w:rsid w:val="00EC5FCC"/>
    <w:rsid w:val="00EC7C7A"/>
    <w:rsid w:val="00ED0C49"/>
    <w:rsid w:val="00ED46BB"/>
    <w:rsid w:val="00ED4820"/>
    <w:rsid w:val="00ED4944"/>
    <w:rsid w:val="00EE0C3A"/>
    <w:rsid w:val="00EE1E8E"/>
    <w:rsid w:val="00EE73C5"/>
    <w:rsid w:val="00EF2BFE"/>
    <w:rsid w:val="00EF3FD6"/>
    <w:rsid w:val="00EF59A2"/>
    <w:rsid w:val="00EF705D"/>
    <w:rsid w:val="00F03243"/>
    <w:rsid w:val="00F048CF"/>
    <w:rsid w:val="00F1117B"/>
    <w:rsid w:val="00F16C69"/>
    <w:rsid w:val="00F20FD1"/>
    <w:rsid w:val="00F210A3"/>
    <w:rsid w:val="00F22F58"/>
    <w:rsid w:val="00F246D8"/>
    <w:rsid w:val="00F26426"/>
    <w:rsid w:val="00F2798D"/>
    <w:rsid w:val="00F27D77"/>
    <w:rsid w:val="00F32BCD"/>
    <w:rsid w:val="00F3723B"/>
    <w:rsid w:val="00F37337"/>
    <w:rsid w:val="00F37355"/>
    <w:rsid w:val="00F450E8"/>
    <w:rsid w:val="00F52FE7"/>
    <w:rsid w:val="00F53C44"/>
    <w:rsid w:val="00F543C2"/>
    <w:rsid w:val="00F548FA"/>
    <w:rsid w:val="00F60BF0"/>
    <w:rsid w:val="00F63271"/>
    <w:rsid w:val="00F80BAB"/>
    <w:rsid w:val="00F82907"/>
    <w:rsid w:val="00F83264"/>
    <w:rsid w:val="00F83406"/>
    <w:rsid w:val="00F83D90"/>
    <w:rsid w:val="00F86C15"/>
    <w:rsid w:val="00F90971"/>
    <w:rsid w:val="00F912AE"/>
    <w:rsid w:val="00F92519"/>
    <w:rsid w:val="00F94F11"/>
    <w:rsid w:val="00F9528C"/>
    <w:rsid w:val="00F95817"/>
    <w:rsid w:val="00F958C2"/>
    <w:rsid w:val="00F974E5"/>
    <w:rsid w:val="00FA31BB"/>
    <w:rsid w:val="00FB0FEE"/>
    <w:rsid w:val="00FB3195"/>
    <w:rsid w:val="00FB3E40"/>
    <w:rsid w:val="00FB75A8"/>
    <w:rsid w:val="00FC540C"/>
    <w:rsid w:val="00FD1F96"/>
    <w:rsid w:val="00FD5318"/>
    <w:rsid w:val="00FE212D"/>
    <w:rsid w:val="00FE3FFE"/>
    <w:rsid w:val="00FF7FEA"/>
    <w:rsid w:val="011164DB"/>
    <w:rsid w:val="01AC2818"/>
    <w:rsid w:val="01C649CF"/>
    <w:rsid w:val="01F64585"/>
    <w:rsid w:val="02634E22"/>
    <w:rsid w:val="03036D51"/>
    <w:rsid w:val="03CA1526"/>
    <w:rsid w:val="043B3B27"/>
    <w:rsid w:val="04501CED"/>
    <w:rsid w:val="04B06D4C"/>
    <w:rsid w:val="04B66E03"/>
    <w:rsid w:val="04BC6320"/>
    <w:rsid w:val="051756C8"/>
    <w:rsid w:val="05383A06"/>
    <w:rsid w:val="054725F1"/>
    <w:rsid w:val="054E09BE"/>
    <w:rsid w:val="05500CEF"/>
    <w:rsid w:val="056E08C6"/>
    <w:rsid w:val="05834B0B"/>
    <w:rsid w:val="05862723"/>
    <w:rsid w:val="05F1623A"/>
    <w:rsid w:val="06653553"/>
    <w:rsid w:val="06E00214"/>
    <w:rsid w:val="075A64EF"/>
    <w:rsid w:val="0768045A"/>
    <w:rsid w:val="07925C25"/>
    <w:rsid w:val="080A0441"/>
    <w:rsid w:val="08224088"/>
    <w:rsid w:val="089D656A"/>
    <w:rsid w:val="08D471F4"/>
    <w:rsid w:val="098976CF"/>
    <w:rsid w:val="098A213F"/>
    <w:rsid w:val="09B85128"/>
    <w:rsid w:val="09E75FEB"/>
    <w:rsid w:val="0B7D12E8"/>
    <w:rsid w:val="0C564D28"/>
    <w:rsid w:val="0C676BEA"/>
    <w:rsid w:val="0CB16DB0"/>
    <w:rsid w:val="0E28288B"/>
    <w:rsid w:val="0E4961A6"/>
    <w:rsid w:val="0EAC311F"/>
    <w:rsid w:val="0F1A028E"/>
    <w:rsid w:val="0F1B7B63"/>
    <w:rsid w:val="0F3F5F47"/>
    <w:rsid w:val="0F6925D8"/>
    <w:rsid w:val="0FBE63CF"/>
    <w:rsid w:val="106B2A77"/>
    <w:rsid w:val="109D1177"/>
    <w:rsid w:val="11516D9B"/>
    <w:rsid w:val="116003F7"/>
    <w:rsid w:val="12140D36"/>
    <w:rsid w:val="1331157D"/>
    <w:rsid w:val="13443D4F"/>
    <w:rsid w:val="135E1C7B"/>
    <w:rsid w:val="13BE3078"/>
    <w:rsid w:val="14944E46"/>
    <w:rsid w:val="14BE5697"/>
    <w:rsid w:val="14F5445E"/>
    <w:rsid w:val="15041D9D"/>
    <w:rsid w:val="15146AE7"/>
    <w:rsid w:val="151E2DCD"/>
    <w:rsid w:val="159352B0"/>
    <w:rsid w:val="159D6C93"/>
    <w:rsid w:val="1675224E"/>
    <w:rsid w:val="167C789C"/>
    <w:rsid w:val="16BF228D"/>
    <w:rsid w:val="16D92DEB"/>
    <w:rsid w:val="16E605C5"/>
    <w:rsid w:val="170478AD"/>
    <w:rsid w:val="172E532B"/>
    <w:rsid w:val="17391501"/>
    <w:rsid w:val="17474AD7"/>
    <w:rsid w:val="174927EC"/>
    <w:rsid w:val="174A5C2E"/>
    <w:rsid w:val="17A17B0C"/>
    <w:rsid w:val="17D80CE7"/>
    <w:rsid w:val="184114C4"/>
    <w:rsid w:val="188B361D"/>
    <w:rsid w:val="196B739C"/>
    <w:rsid w:val="19906725"/>
    <w:rsid w:val="19A87AAF"/>
    <w:rsid w:val="19F81255"/>
    <w:rsid w:val="19FB13BE"/>
    <w:rsid w:val="1A292FD3"/>
    <w:rsid w:val="1A4235B3"/>
    <w:rsid w:val="1AC31DC0"/>
    <w:rsid w:val="1AF46AB1"/>
    <w:rsid w:val="1B1C5C71"/>
    <w:rsid w:val="1B4956A6"/>
    <w:rsid w:val="1BB1724C"/>
    <w:rsid w:val="1BEC279E"/>
    <w:rsid w:val="1C174BB9"/>
    <w:rsid w:val="1D176058"/>
    <w:rsid w:val="1D220F6E"/>
    <w:rsid w:val="1E351A6B"/>
    <w:rsid w:val="1E4800BE"/>
    <w:rsid w:val="1F8B2AE2"/>
    <w:rsid w:val="1FBA50AE"/>
    <w:rsid w:val="1FBE5E68"/>
    <w:rsid w:val="1FC63B1B"/>
    <w:rsid w:val="1FCF108E"/>
    <w:rsid w:val="1FFE7A4D"/>
    <w:rsid w:val="20182011"/>
    <w:rsid w:val="203E1903"/>
    <w:rsid w:val="20E35147"/>
    <w:rsid w:val="2102244D"/>
    <w:rsid w:val="2127683B"/>
    <w:rsid w:val="21670B41"/>
    <w:rsid w:val="21AA2D44"/>
    <w:rsid w:val="226805A6"/>
    <w:rsid w:val="234E2681"/>
    <w:rsid w:val="237F12E7"/>
    <w:rsid w:val="23DE5552"/>
    <w:rsid w:val="242A2E5B"/>
    <w:rsid w:val="24333AE9"/>
    <w:rsid w:val="24736D7F"/>
    <w:rsid w:val="247826BD"/>
    <w:rsid w:val="253921C0"/>
    <w:rsid w:val="25560B90"/>
    <w:rsid w:val="25597C52"/>
    <w:rsid w:val="25795855"/>
    <w:rsid w:val="25C25443"/>
    <w:rsid w:val="26FE48FE"/>
    <w:rsid w:val="27212330"/>
    <w:rsid w:val="273F01AC"/>
    <w:rsid w:val="279B53E3"/>
    <w:rsid w:val="27F143F0"/>
    <w:rsid w:val="28A40726"/>
    <w:rsid w:val="28AF40F9"/>
    <w:rsid w:val="28C0651E"/>
    <w:rsid w:val="29376C58"/>
    <w:rsid w:val="294F4244"/>
    <w:rsid w:val="295773E8"/>
    <w:rsid w:val="296423AE"/>
    <w:rsid w:val="29CF6745"/>
    <w:rsid w:val="2A391D5B"/>
    <w:rsid w:val="2A756B02"/>
    <w:rsid w:val="2B2C2ED5"/>
    <w:rsid w:val="2B9F3F60"/>
    <w:rsid w:val="2BA1578B"/>
    <w:rsid w:val="2C105269"/>
    <w:rsid w:val="2C3F70C1"/>
    <w:rsid w:val="2C807729"/>
    <w:rsid w:val="2D067A55"/>
    <w:rsid w:val="2D105A8E"/>
    <w:rsid w:val="2D371BB4"/>
    <w:rsid w:val="2D4F7D73"/>
    <w:rsid w:val="2D894FE3"/>
    <w:rsid w:val="2D960478"/>
    <w:rsid w:val="2DE663D4"/>
    <w:rsid w:val="2EEB0663"/>
    <w:rsid w:val="2F06126F"/>
    <w:rsid w:val="2F53147A"/>
    <w:rsid w:val="306E14A2"/>
    <w:rsid w:val="306F4E80"/>
    <w:rsid w:val="3070107E"/>
    <w:rsid w:val="30A04C05"/>
    <w:rsid w:val="3127095E"/>
    <w:rsid w:val="31284EBA"/>
    <w:rsid w:val="3136474E"/>
    <w:rsid w:val="31A23234"/>
    <w:rsid w:val="31E844CF"/>
    <w:rsid w:val="321037AE"/>
    <w:rsid w:val="32D54A6B"/>
    <w:rsid w:val="32EC1487"/>
    <w:rsid w:val="33746DD8"/>
    <w:rsid w:val="33D1526B"/>
    <w:rsid w:val="34115A3C"/>
    <w:rsid w:val="342A1AAB"/>
    <w:rsid w:val="3463273E"/>
    <w:rsid w:val="35A52AC8"/>
    <w:rsid w:val="36D10F8E"/>
    <w:rsid w:val="37016063"/>
    <w:rsid w:val="38611BA7"/>
    <w:rsid w:val="38770988"/>
    <w:rsid w:val="388330E3"/>
    <w:rsid w:val="38842B90"/>
    <w:rsid w:val="38AF01CA"/>
    <w:rsid w:val="395F231B"/>
    <w:rsid w:val="39CA718E"/>
    <w:rsid w:val="3A502507"/>
    <w:rsid w:val="3A886145"/>
    <w:rsid w:val="3AC42DF2"/>
    <w:rsid w:val="3BA42050"/>
    <w:rsid w:val="3C69579A"/>
    <w:rsid w:val="3CC63506"/>
    <w:rsid w:val="3D420F23"/>
    <w:rsid w:val="3D4960C7"/>
    <w:rsid w:val="3D4E5AB2"/>
    <w:rsid w:val="3D5434C7"/>
    <w:rsid w:val="3D6B683D"/>
    <w:rsid w:val="3DBB3FD3"/>
    <w:rsid w:val="3DF64E8F"/>
    <w:rsid w:val="3F78086A"/>
    <w:rsid w:val="3FBB4D4A"/>
    <w:rsid w:val="400E096F"/>
    <w:rsid w:val="40570662"/>
    <w:rsid w:val="40907590"/>
    <w:rsid w:val="411029F0"/>
    <w:rsid w:val="4130567A"/>
    <w:rsid w:val="41767A90"/>
    <w:rsid w:val="41B33FF6"/>
    <w:rsid w:val="41BC085A"/>
    <w:rsid w:val="41CD2A0F"/>
    <w:rsid w:val="41FE3541"/>
    <w:rsid w:val="423169D4"/>
    <w:rsid w:val="423F2DC4"/>
    <w:rsid w:val="427E2307"/>
    <w:rsid w:val="42A74498"/>
    <w:rsid w:val="42EB6C8A"/>
    <w:rsid w:val="430E6EA6"/>
    <w:rsid w:val="430F2C00"/>
    <w:rsid w:val="43EC0C35"/>
    <w:rsid w:val="44092C37"/>
    <w:rsid w:val="44CB5D45"/>
    <w:rsid w:val="44E56059"/>
    <w:rsid w:val="450324AD"/>
    <w:rsid w:val="4534695F"/>
    <w:rsid w:val="4552748E"/>
    <w:rsid w:val="458B4F39"/>
    <w:rsid w:val="45DB35CC"/>
    <w:rsid w:val="45EB7979"/>
    <w:rsid w:val="471E61FF"/>
    <w:rsid w:val="479E5457"/>
    <w:rsid w:val="47A07138"/>
    <w:rsid w:val="481D789A"/>
    <w:rsid w:val="48352CD0"/>
    <w:rsid w:val="486A0DF4"/>
    <w:rsid w:val="487A5757"/>
    <w:rsid w:val="490D1C87"/>
    <w:rsid w:val="49211F4B"/>
    <w:rsid w:val="49B13BBB"/>
    <w:rsid w:val="49E43726"/>
    <w:rsid w:val="4A32570D"/>
    <w:rsid w:val="4A6022F2"/>
    <w:rsid w:val="4A69786B"/>
    <w:rsid w:val="4A9E01AF"/>
    <w:rsid w:val="4AE15659"/>
    <w:rsid w:val="4AEC6B95"/>
    <w:rsid w:val="4AFA438B"/>
    <w:rsid w:val="4B37038D"/>
    <w:rsid w:val="4B4C086D"/>
    <w:rsid w:val="4B5516ED"/>
    <w:rsid w:val="4B652950"/>
    <w:rsid w:val="4CA566E2"/>
    <w:rsid w:val="4CD53223"/>
    <w:rsid w:val="4CDC77A0"/>
    <w:rsid w:val="4CDE126E"/>
    <w:rsid w:val="4D0F1DAD"/>
    <w:rsid w:val="4D3764BE"/>
    <w:rsid w:val="4D6A6682"/>
    <w:rsid w:val="4D9D1559"/>
    <w:rsid w:val="4DE66FB2"/>
    <w:rsid w:val="4E2A748A"/>
    <w:rsid w:val="4E781049"/>
    <w:rsid w:val="4ED641B9"/>
    <w:rsid w:val="4F0B3984"/>
    <w:rsid w:val="4F2128C0"/>
    <w:rsid w:val="4F3D0E63"/>
    <w:rsid w:val="4F9D0771"/>
    <w:rsid w:val="4FCF112F"/>
    <w:rsid w:val="503442EB"/>
    <w:rsid w:val="503E632F"/>
    <w:rsid w:val="504601DC"/>
    <w:rsid w:val="50721BB3"/>
    <w:rsid w:val="5097669C"/>
    <w:rsid w:val="50BA1710"/>
    <w:rsid w:val="513E3D7A"/>
    <w:rsid w:val="51752970"/>
    <w:rsid w:val="518E7686"/>
    <w:rsid w:val="52895F21"/>
    <w:rsid w:val="52F2298E"/>
    <w:rsid w:val="532B7D09"/>
    <w:rsid w:val="53BD48E9"/>
    <w:rsid w:val="546A7943"/>
    <w:rsid w:val="54970523"/>
    <w:rsid w:val="54FA50E3"/>
    <w:rsid w:val="553920BD"/>
    <w:rsid w:val="556A7EB3"/>
    <w:rsid w:val="571E156B"/>
    <w:rsid w:val="57776ECD"/>
    <w:rsid w:val="579E0085"/>
    <w:rsid w:val="57AB35B3"/>
    <w:rsid w:val="586C4558"/>
    <w:rsid w:val="58D54EED"/>
    <w:rsid w:val="592F2120"/>
    <w:rsid w:val="59554031"/>
    <w:rsid w:val="59897FC6"/>
    <w:rsid w:val="599478F6"/>
    <w:rsid w:val="59E67BEF"/>
    <w:rsid w:val="59EC0F8F"/>
    <w:rsid w:val="5A0F0EE1"/>
    <w:rsid w:val="5A1C49B0"/>
    <w:rsid w:val="5A720D94"/>
    <w:rsid w:val="5B42111F"/>
    <w:rsid w:val="5BB03582"/>
    <w:rsid w:val="5BC15E02"/>
    <w:rsid w:val="5BF67A2E"/>
    <w:rsid w:val="5BF77D33"/>
    <w:rsid w:val="5C0E61C2"/>
    <w:rsid w:val="5C4D0B1E"/>
    <w:rsid w:val="5CBC756A"/>
    <w:rsid w:val="5CF94839"/>
    <w:rsid w:val="5D014506"/>
    <w:rsid w:val="5D49632E"/>
    <w:rsid w:val="5D706DE2"/>
    <w:rsid w:val="5D926D13"/>
    <w:rsid w:val="5E152110"/>
    <w:rsid w:val="5EBE1737"/>
    <w:rsid w:val="5F107DB0"/>
    <w:rsid w:val="5F1A335F"/>
    <w:rsid w:val="5F276761"/>
    <w:rsid w:val="5FC44A46"/>
    <w:rsid w:val="601348B9"/>
    <w:rsid w:val="60576387"/>
    <w:rsid w:val="609A5D55"/>
    <w:rsid w:val="60C56C93"/>
    <w:rsid w:val="60CE1548"/>
    <w:rsid w:val="615230E4"/>
    <w:rsid w:val="61B3251A"/>
    <w:rsid w:val="61C643D7"/>
    <w:rsid w:val="61E11B13"/>
    <w:rsid w:val="62646819"/>
    <w:rsid w:val="62955C28"/>
    <w:rsid w:val="62BD084C"/>
    <w:rsid w:val="632E4697"/>
    <w:rsid w:val="63B64B22"/>
    <w:rsid w:val="6427469F"/>
    <w:rsid w:val="64537D84"/>
    <w:rsid w:val="645751D5"/>
    <w:rsid w:val="653D1D87"/>
    <w:rsid w:val="65AA6540"/>
    <w:rsid w:val="662A55D9"/>
    <w:rsid w:val="6650623E"/>
    <w:rsid w:val="668B75AE"/>
    <w:rsid w:val="669A3E0E"/>
    <w:rsid w:val="6856122A"/>
    <w:rsid w:val="68B47E48"/>
    <w:rsid w:val="68C0403B"/>
    <w:rsid w:val="6917406C"/>
    <w:rsid w:val="693817BC"/>
    <w:rsid w:val="69BB16F8"/>
    <w:rsid w:val="69F216F3"/>
    <w:rsid w:val="6A143BF1"/>
    <w:rsid w:val="6A525E24"/>
    <w:rsid w:val="6AC17401"/>
    <w:rsid w:val="6C412C64"/>
    <w:rsid w:val="6D626655"/>
    <w:rsid w:val="6DA03FAE"/>
    <w:rsid w:val="6EBD065B"/>
    <w:rsid w:val="6F2D59D2"/>
    <w:rsid w:val="6F3C32AD"/>
    <w:rsid w:val="70D6480D"/>
    <w:rsid w:val="71163B3E"/>
    <w:rsid w:val="71357FF8"/>
    <w:rsid w:val="71917DAF"/>
    <w:rsid w:val="7225200B"/>
    <w:rsid w:val="734820D9"/>
    <w:rsid w:val="743E1968"/>
    <w:rsid w:val="750F23C2"/>
    <w:rsid w:val="75963247"/>
    <w:rsid w:val="75C655C6"/>
    <w:rsid w:val="75E958F5"/>
    <w:rsid w:val="76EA4333"/>
    <w:rsid w:val="77040325"/>
    <w:rsid w:val="771D71F5"/>
    <w:rsid w:val="7727638F"/>
    <w:rsid w:val="77676E8E"/>
    <w:rsid w:val="77A3604B"/>
    <w:rsid w:val="77CC10DC"/>
    <w:rsid w:val="77D93560"/>
    <w:rsid w:val="7811422A"/>
    <w:rsid w:val="787B4617"/>
    <w:rsid w:val="78BE2CCB"/>
    <w:rsid w:val="78C211CB"/>
    <w:rsid w:val="78DA3271"/>
    <w:rsid w:val="791C65D2"/>
    <w:rsid w:val="79B439C4"/>
    <w:rsid w:val="79C76435"/>
    <w:rsid w:val="7A3106B3"/>
    <w:rsid w:val="7A337239"/>
    <w:rsid w:val="7A7374DF"/>
    <w:rsid w:val="7A7B6D10"/>
    <w:rsid w:val="7B2251AF"/>
    <w:rsid w:val="7B76471B"/>
    <w:rsid w:val="7B7D6030"/>
    <w:rsid w:val="7BF75681"/>
    <w:rsid w:val="7C105C92"/>
    <w:rsid w:val="7C11530A"/>
    <w:rsid w:val="7C43544C"/>
    <w:rsid w:val="7C4627A6"/>
    <w:rsid w:val="7C6255BF"/>
    <w:rsid w:val="7C920F0A"/>
    <w:rsid w:val="7D0A03EC"/>
    <w:rsid w:val="7D2A36C6"/>
    <w:rsid w:val="7D612215"/>
    <w:rsid w:val="7DEF74BD"/>
    <w:rsid w:val="7E220D4B"/>
    <w:rsid w:val="7E476314"/>
    <w:rsid w:val="7E540964"/>
    <w:rsid w:val="7E8F2B81"/>
    <w:rsid w:val="7EA26C10"/>
    <w:rsid w:val="7EBA09E1"/>
    <w:rsid w:val="7F07799F"/>
    <w:rsid w:val="7F150451"/>
    <w:rsid w:val="7F5320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20" w:firstLineChars="200"/>
      <w:jc w:val="both"/>
    </w:pPr>
    <w:rPr>
      <w:rFonts w:ascii="Times New Roman" w:hAnsi="Times New Roman" w:eastAsia="宋体" w:cs="Times New Roman"/>
      <w:kern w:val="2"/>
      <w:sz w:val="24"/>
      <w:szCs w:val="21"/>
      <w:lang w:val="en-US" w:eastAsia="zh-CN" w:bidi="ar-SA"/>
    </w:rPr>
  </w:style>
  <w:style w:type="paragraph" w:styleId="3">
    <w:name w:val="heading 1"/>
    <w:basedOn w:val="1"/>
    <w:next w:val="1"/>
    <w:link w:val="45"/>
    <w:qFormat/>
    <w:uiPriority w:val="0"/>
    <w:pPr>
      <w:keepNext/>
      <w:keepLines/>
      <w:numPr>
        <w:ilvl w:val="0"/>
        <w:numId w:val="1"/>
      </w:numPr>
      <w:tabs>
        <w:tab w:val="left" w:pos="360"/>
        <w:tab w:val="clear" w:pos="420"/>
      </w:tabs>
      <w:spacing w:before="120" w:after="120" w:line="360" w:lineRule="auto"/>
      <w:ind w:left="0" w:firstLine="0" w:firstLineChars="0"/>
      <w:jc w:val="center"/>
      <w:outlineLvl w:val="0"/>
    </w:pPr>
    <w:rPr>
      <w:rFonts w:ascii="Times New Roman" w:hAnsi="Times New Roman" w:eastAsia="黑体"/>
      <w:bCs/>
      <w:kern w:val="44"/>
      <w:sz w:val="32"/>
      <w:szCs w:val="44"/>
    </w:rPr>
  </w:style>
  <w:style w:type="paragraph" w:styleId="4">
    <w:name w:val="heading 2"/>
    <w:basedOn w:val="1"/>
    <w:next w:val="1"/>
    <w:link w:val="46"/>
    <w:qFormat/>
    <w:uiPriority w:val="0"/>
    <w:pPr>
      <w:keepNext/>
      <w:keepLines/>
      <w:numPr>
        <w:ilvl w:val="1"/>
        <w:numId w:val="1"/>
      </w:numPr>
      <w:tabs>
        <w:tab w:val="left" w:pos="360"/>
        <w:tab w:val="left" w:pos="740"/>
        <w:tab w:val="clear" w:pos="0"/>
      </w:tabs>
      <w:spacing w:before="120" w:after="120" w:line="360" w:lineRule="auto"/>
      <w:ind w:left="0" w:firstLine="0" w:firstLineChars="0"/>
      <w:outlineLvl w:val="1"/>
    </w:pPr>
    <w:rPr>
      <w:rFonts w:ascii="Arial" w:hAnsi="Arial" w:eastAsia="黑体"/>
      <w:bCs/>
      <w:sz w:val="30"/>
      <w:szCs w:val="32"/>
    </w:rPr>
  </w:style>
  <w:style w:type="paragraph" w:styleId="5">
    <w:name w:val="heading 3"/>
    <w:basedOn w:val="1"/>
    <w:next w:val="1"/>
    <w:link w:val="47"/>
    <w:qFormat/>
    <w:uiPriority w:val="0"/>
    <w:pPr>
      <w:keepNext/>
      <w:keepLines/>
      <w:numPr>
        <w:ilvl w:val="2"/>
        <w:numId w:val="1"/>
      </w:numPr>
      <w:tabs>
        <w:tab w:val="left" w:pos="360"/>
        <w:tab w:val="left" w:pos="1004"/>
        <w:tab w:val="clear" w:pos="420"/>
      </w:tabs>
      <w:spacing w:before="120" w:after="120" w:line="360" w:lineRule="auto"/>
      <w:ind w:left="0" w:firstLine="0" w:firstLineChars="0"/>
      <w:outlineLvl w:val="2"/>
    </w:pPr>
    <w:rPr>
      <w:rFonts w:ascii="Times New Roman" w:hAnsi="Times New Roman" w:eastAsia="黑体"/>
      <w:bCs/>
      <w:sz w:val="28"/>
      <w:szCs w:val="32"/>
    </w:rPr>
  </w:style>
  <w:style w:type="paragraph" w:styleId="2">
    <w:name w:val="heading 4"/>
    <w:basedOn w:val="1"/>
    <w:next w:val="1"/>
    <w:link w:val="48"/>
    <w:qFormat/>
    <w:uiPriority w:val="0"/>
    <w:pPr>
      <w:keepNext/>
      <w:keepLines/>
      <w:numPr>
        <w:ilvl w:val="3"/>
        <w:numId w:val="1"/>
      </w:numPr>
      <w:tabs>
        <w:tab w:val="left" w:pos="360"/>
      </w:tabs>
      <w:spacing w:before="120" w:after="120" w:line="360" w:lineRule="auto"/>
      <w:outlineLvl w:val="3"/>
    </w:pPr>
    <w:rPr>
      <w:rFonts w:eastAsia="黑体"/>
      <w:bCs/>
      <w:sz w:val="24"/>
    </w:rPr>
  </w:style>
  <w:style w:type="paragraph" w:styleId="6">
    <w:name w:val="heading 5"/>
    <w:basedOn w:val="1"/>
    <w:next w:val="1"/>
    <w:link w:val="49"/>
    <w:qFormat/>
    <w:uiPriority w:val="0"/>
    <w:pPr>
      <w:keepNext/>
      <w:keepLines/>
      <w:numPr>
        <w:ilvl w:val="4"/>
        <w:numId w:val="1"/>
      </w:numPr>
      <w:tabs>
        <w:tab w:val="left" w:pos="360"/>
      </w:tabs>
      <w:spacing w:line="300" w:lineRule="auto"/>
      <w:outlineLvl w:val="4"/>
    </w:pPr>
    <w:rPr>
      <w:bCs/>
      <w:sz w:val="24"/>
      <w:szCs w:val="28"/>
    </w:rPr>
  </w:style>
  <w:style w:type="paragraph" w:styleId="7">
    <w:name w:val="heading 6"/>
    <w:basedOn w:val="1"/>
    <w:next w:val="1"/>
    <w:link w:val="50"/>
    <w:qFormat/>
    <w:uiPriority w:val="0"/>
    <w:pPr>
      <w:keepNext/>
      <w:keepLines/>
      <w:numPr>
        <w:ilvl w:val="5"/>
        <w:numId w:val="1"/>
      </w:numPr>
      <w:tabs>
        <w:tab w:val="left" w:pos="360"/>
      </w:tabs>
      <w:spacing w:line="300" w:lineRule="auto"/>
      <w:outlineLvl w:val="5"/>
    </w:pPr>
    <w:rPr>
      <w:bCs/>
    </w:rPr>
  </w:style>
  <w:style w:type="paragraph" w:styleId="8">
    <w:name w:val="heading 7"/>
    <w:basedOn w:val="1"/>
    <w:next w:val="1"/>
    <w:link w:val="51"/>
    <w:qFormat/>
    <w:uiPriority w:val="0"/>
    <w:pPr>
      <w:keepNext/>
      <w:keepLines/>
      <w:numPr>
        <w:ilvl w:val="6"/>
        <w:numId w:val="1"/>
      </w:numPr>
      <w:tabs>
        <w:tab w:val="left" w:pos="360"/>
      </w:tabs>
      <w:spacing w:line="300" w:lineRule="auto"/>
      <w:outlineLvl w:val="6"/>
    </w:pPr>
    <w:rPr>
      <w:bCs/>
    </w:rPr>
  </w:style>
  <w:style w:type="paragraph" w:styleId="9">
    <w:name w:val="heading 8"/>
    <w:basedOn w:val="1"/>
    <w:next w:val="1"/>
    <w:link w:val="52"/>
    <w:qFormat/>
    <w:uiPriority w:val="0"/>
    <w:pPr>
      <w:keepNext/>
      <w:keepLines/>
      <w:numPr>
        <w:ilvl w:val="7"/>
        <w:numId w:val="1"/>
      </w:numPr>
      <w:tabs>
        <w:tab w:val="left" w:pos="360"/>
      </w:tabs>
      <w:spacing w:line="300" w:lineRule="auto"/>
      <w:outlineLvl w:val="7"/>
    </w:pPr>
    <w:rPr>
      <w:rFonts w:ascii="Arial" w:hAnsi="Arial"/>
    </w:rPr>
  </w:style>
  <w:style w:type="paragraph" w:styleId="10">
    <w:name w:val="heading 9"/>
    <w:basedOn w:val="1"/>
    <w:next w:val="1"/>
    <w:link w:val="53"/>
    <w:qFormat/>
    <w:uiPriority w:val="0"/>
    <w:pPr>
      <w:keepNext/>
      <w:keepLines/>
      <w:numPr>
        <w:ilvl w:val="8"/>
        <w:numId w:val="1"/>
      </w:numPr>
      <w:tabs>
        <w:tab w:val="left" w:pos="360"/>
      </w:tabs>
      <w:spacing w:line="300" w:lineRule="auto"/>
      <w:outlineLvl w:val="8"/>
    </w:pPr>
  </w:style>
  <w:style w:type="character" w:default="1" w:styleId="37">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styleId="11">
    <w:name w:val="Normal Indent"/>
    <w:basedOn w:val="1"/>
    <w:link w:val="56"/>
    <w:qFormat/>
    <w:uiPriority w:val="0"/>
    <w:pPr>
      <w:adjustRightInd w:val="0"/>
      <w:spacing w:line="360" w:lineRule="auto"/>
      <w:ind w:firstLine="200"/>
      <w:jc w:val="left"/>
      <w:textAlignment w:val="baseline"/>
    </w:pPr>
    <w:rPr>
      <w:rFonts w:ascii="Arial" w:hAnsi="Arial" w:eastAsia="楷体_GB2312" w:cstheme="minorBidi"/>
      <w:sz w:val="28"/>
      <w:szCs w:val="22"/>
    </w:rPr>
  </w:style>
  <w:style w:type="paragraph" w:styleId="12">
    <w:name w:val="caption"/>
    <w:basedOn w:val="1"/>
    <w:next w:val="1"/>
    <w:unhideWhenUsed/>
    <w:qFormat/>
    <w:uiPriority w:val="35"/>
    <w:rPr>
      <w:rFonts w:ascii="Cambria" w:hAnsi="Cambria" w:eastAsia="黑体"/>
      <w:sz w:val="20"/>
      <w:szCs w:val="20"/>
    </w:rPr>
  </w:style>
  <w:style w:type="paragraph" w:styleId="13">
    <w:name w:val="Document Map"/>
    <w:basedOn w:val="1"/>
    <w:link w:val="57"/>
    <w:qFormat/>
    <w:uiPriority w:val="0"/>
    <w:rPr>
      <w:rFonts w:ascii="宋体" w:hAnsiTheme="minorHAnsi" w:eastAsiaTheme="minorEastAsia" w:cstheme="minorBidi"/>
      <w:sz w:val="18"/>
      <w:szCs w:val="18"/>
    </w:rPr>
  </w:style>
  <w:style w:type="paragraph" w:styleId="14">
    <w:name w:val="annotation text"/>
    <w:basedOn w:val="1"/>
    <w:link w:val="54"/>
    <w:unhideWhenUsed/>
    <w:qFormat/>
    <w:uiPriority w:val="0"/>
    <w:pPr>
      <w:jc w:val="left"/>
    </w:pPr>
  </w:style>
  <w:style w:type="paragraph" w:styleId="15">
    <w:name w:val="Body Text"/>
    <w:basedOn w:val="1"/>
    <w:next w:val="16"/>
    <w:link w:val="58"/>
    <w:qFormat/>
    <w:uiPriority w:val="0"/>
    <w:pPr>
      <w:spacing w:after="120"/>
    </w:pPr>
    <w:rPr>
      <w:rFonts w:asciiTheme="minorHAnsi" w:hAnsiTheme="minorHAnsi" w:cstheme="minorBidi"/>
    </w:rPr>
  </w:style>
  <w:style w:type="paragraph" w:styleId="16">
    <w:name w:val="Title"/>
    <w:basedOn w:val="1"/>
    <w:next w:val="1"/>
    <w:qFormat/>
    <w:uiPriority w:val="99"/>
    <w:pPr>
      <w:widowControl w:val="0"/>
      <w:spacing w:before="240" w:after="60"/>
      <w:jc w:val="center"/>
      <w:outlineLvl w:val="0"/>
    </w:pPr>
    <w:rPr>
      <w:rFonts w:ascii="Cambria" w:hAnsi="Cambria" w:cs="Times New Roman"/>
      <w:b/>
      <w:bCs/>
      <w:kern w:val="2"/>
      <w:sz w:val="32"/>
      <w:szCs w:val="32"/>
      <w:lang w:val="zh-CN"/>
    </w:rPr>
  </w:style>
  <w:style w:type="paragraph" w:styleId="17">
    <w:name w:val="Body Text Indent"/>
    <w:basedOn w:val="1"/>
    <w:link w:val="59"/>
    <w:qFormat/>
    <w:uiPriority w:val="0"/>
    <w:pPr>
      <w:spacing w:after="120"/>
      <w:ind w:left="420" w:leftChars="200"/>
    </w:pPr>
  </w:style>
  <w:style w:type="paragraph" w:styleId="18">
    <w:name w:val="toc 3"/>
    <w:basedOn w:val="1"/>
    <w:next w:val="1"/>
    <w:qFormat/>
    <w:uiPriority w:val="39"/>
    <w:pPr>
      <w:ind w:left="420"/>
      <w:jc w:val="left"/>
    </w:pPr>
    <w:rPr>
      <w:rFonts w:ascii="Calibri" w:hAnsi="Calibri" w:cs="Calibri"/>
      <w:i/>
      <w:iCs/>
      <w:sz w:val="20"/>
      <w:szCs w:val="20"/>
    </w:rPr>
  </w:style>
  <w:style w:type="paragraph" w:styleId="19">
    <w:name w:val="Plain Text"/>
    <w:basedOn w:val="1"/>
    <w:link w:val="60"/>
    <w:qFormat/>
    <w:uiPriority w:val="0"/>
    <w:pPr>
      <w:spacing w:line="300" w:lineRule="auto"/>
    </w:pPr>
    <w:rPr>
      <w:rFonts w:ascii="宋体" w:hAnsi="Courier New" w:cs="Courier New"/>
    </w:rPr>
  </w:style>
  <w:style w:type="paragraph" w:styleId="20">
    <w:name w:val="Date"/>
    <w:basedOn w:val="1"/>
    <w:next w:val="1"/>
    <w:link w:val="61"/>
    <w:qFormat/>
    <w:uiPriority w:val="0"/>
    <w:pPr>
      <w:ind w:left="100" w:leftChars="2500"/>
    </w:pPr>
    <w:rPr>
      <w:rFonts w:asciiTheme="minorHAnsi" w:hAnsiTheme="minorHAnsi" w:eastAsiaTheme="minorEastAsia" w:cstheme="minorBidi"/>
    </w:rPr>
  </w:style>
  <w:style w:type="paragraph" w:styleId="21">
    <w:name w:val="Body Text Indent 2"/>
    <w:basedOn w:val="1"/>
    <w:link w:val="62"/>
    <w:qFormat/>
    <w:uiPriority w:val="0"/>
    <w:pPr>
      <w:spacing w:line="360" w:lineRule="auto"/>
      <w:ind w:firstLine="540" w:firstLineChars="225"/>
    </w:pPr>
    <w:rPr>
      <w:rFonts w:hint="eastAsia" w:ascii="宋体"/>
      <w:sz w:val="24"/>
    </w:rPr>
  </w:style>
  <w:style w:type="paragraph" w:styleId="22">
    <w:name w:val="Balloon Text"/>
    <w:basedOn w:val="1"/>
    <w:link w:val="63"/>
    <w:qFormat/>
    <w:uiPriority w:val="0"/>
    <w:rPr>
      <w:rFonts w:ascii="宋体" w:hAnsi="宋体" w:eastAsiaTheme="minorEastAsia" w:cstheme="minorBidi"/>
      <w:kern w:val="44"/>
      <w:sz w:val="18"/>
      <w:szCs w:val="18"/>
    </w:rPr>
  </w:style>
  <w:style w:type="paragraph" w:styleId="23">
    <w:name w:val="footer"/>
    <w:basedOn w:val="1"/>
    <w:link w:val="64"/>
    <w:unhideWhenUsed/>
    <w:qFormat/>
    <w:uiPriority w:val="99"/>
    <w:pPr>
      <w:tabs>
        <w:tab w:val="center" w:pos="4153"/>
        <w:tab w:val="right" w:pos="8306"/>
      </w:tabs>
      <w:snapToGrid w:val="0"/>
      <w:jc w:val="left"/>
    </w:pPr>
    <w:rPr>
      <w:sz w:val="18"/>
      <w:szCs w:val="18"/>
    </w:rPr>
  </w:style>
  <w:style w:type="paragraph" w:styleId="2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spacing w:before="120" w:after="120"/>
      <w:jc w:val="left"/>
    </w:pPr>
    <w:rPr>
      <w:rFonts w:ascii="Calibri" w:hAnsi="Calibri" w:cs="Calibri"/>
      <w:b/>
      <w:bCs/>
      <w:caps/>
      <w:sz w:val="20"/>
      <w:szCs w:val="20"/>
    </w:rPr>
  </w:style>
  <w:style w:type="paragraph" w:styleId="26">
    <w:name w:val="toc 4"/>
    <w:basedOn w:val="1"/>
    <w:next w:val="1"/>
    <w:qFormat/>
    <w:uiPriority w:val="0"/>
    <w:pPr>
      <w:ind w:left="1260" w:leftChars="600"/>
    </w:pPr>
  </w:style>
  <w:style w:type="paragraph" w:styleId="27">
    <w:name w:val="table of figures"/>
    <w:basedOn w:val="1"/>
    <w:next w:val="1"/>
    <w:qFormat/>
    <w:uiPriority w:val="0"/>
    <w:pPr>
      <w:ind w:left="200" w:leftChars="200" w:hanging="200" w:hangingChars="200"/>
    </w:pPr>
  </w:style>
  <w:style w:type="paragraph" w:styleId="28">
    <w:name w:val="toc 2"/>
    <w:basedOn w:val="1"/>
    <w:next w:val="1"/>
    <w:qFormat/>
    <w:uiPriority w:val="39"/>
    <w:pPr>
      <w:ind w:left="210"/>
      <w:jc w:val="left"/>
    </w:pPr>
    <w:rPr>
      <w:rFonts w:ascii="Calibri" w:hAnsi="Calibri" w:cs="Calibri"/>
      <w:smallCaps/>
      <w:sz w:val="20"/>
      <w:szCs w:val="20"/>
    </w:rPr>
  </w:style>
  <w:style w:type="paragraph" w:styleId="2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0">
    <w:name w:val="annotation subject"/>
    <w:basedOn w:val="14"/>
    <w:next w:val="14"/>
    <w:link w:val="55"/>
    <w:qFormat/>
    <w:uiPriority w:val="0"/>
    <w:rPr>
      <w:b/>
      <w:bCs/>
    </w:rPr>
  </w:style>
  <w:style w:type="paragraph" w:styleId="31">
    <w:name w:val="Body Text First Indent 2"/>
    <w:basedOn w:val="17"/>
    <w:unhideWhenUsed/>
    <w:qFormat/>
    <w:uiPriority w:val="0"/>
    <w:pPr>
      <w:widowControl w:val="0"/>
      <w:spacing w:after="120"/>
      <w:ind w:left="420" w:leftChars="200" w:firstLine="420" w:firstLineChars="200"/>
      <w:jc w:val="both"/>
    </w:pPr>
    <w:rPr>
      <w:rFonts w:ascii="Times New Roman" w:hAnsi="Times New Roman" w:eastAsia="宋体" w:cs="Times New Roman"/>
      <w:kern w:val="2"/>
      <w:sz w:val="21"/>
      <w:szCs w:val="21"/>
      <w:lang w:val="en-US" w:eastAsia="zh-CN" w:bidi="ar-SA"/>
    </w:rPr>
  </w:style>
  <w:style w:type="table" w:styleId="33">
    <w:name w:val="Table Grid"/>
    <w:basedOn w:val="32"/>
    <w:qFormat/>
    <w:uiPriority w:val="9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34">
    <w:name w:val="Table Theme"/>
    <w:basedOn w:val="3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Table Classic 1"/>
    <w:qFormat/>
    <w:uiPriority w:val="0"/>
    <w:pPr>
      <w:widowControl w:val="0"/>
      <w:jc w:val="both"/>
    </w:pPr>
    <w:tblPr>
      <w:tblBorders>
        <w:top w:val="single" w:color="000000" w:sz="12" w:space="0"/>
        <w:bottom w:val="single" w:color="000000" w:sz="12" w:space="0"/>
      </w:tblBorders>
      <w:tblCellMar>
        <w:top w:w="0" w:type="dxa"/>
        <w:left w:w="0" w:type="dxa"/>
        <w:bottom w:w="0" w:type="dxa"/>
        <w:right w:w="0"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6">
    <w:name w:val="Table Simple 1"/>
    <w:qFormat/>
    <w:uiPriority w:val="0"/>
    <w:pPr>
      <w:widowControl w:val="0"/>
      <w:jc w:val="both"/>
    </w:pPr>
    <w:rPr>
      <w:rFonts w:ascii="Times New Roman" w:hAnsi="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character" w:styleId="38">
    <w:name w:val="page number"/>
    <w:basedOn w:val="37"/>
    <w:qFormat/>
    <w:uiPriority w:val="0"/>
  </w:style>
  <w:style w:type="character" w:styleId="39">
    <w:name w:val="FollowedHyperlink"/>
    <w:qFormat/>
    <w:uiPriority w:val="99"/>
    <w:rPr>
      <w:color w:val="800080"/>
      <w:u w:val="single"/>
    </w:rPr>
  </w:style>
  <w:style w:type="character" w:styleId="40">
    <w:name w:val="Emphasis"/>
    <w:qFormat/>
    <w:uiPriority w:val="0"/>
    <w:rPr>
      <w:rFonts w:eastAsia="宋体"/>
      <w:iCs/>
      <w:sz w:val="18"/>
    </w:rPr>
  </w:style>
  <w:style w:type="character" w:styleId="41">
    <w:name w:val="Hyperlink"/>
    <w:qFormat/>
    <w:uiPriority w:val="99"/>
    <w:rPr>
      <w:color w:val="0000FF"/>
      <w:u w:val="single"/>
    </w:rPr>
  </w:style>
  <w:style w:type="character" w:styleId="42">
    <w:name w:val="annotation reference"/>
    <w:qFormat/>
    <w:uiPriority w:val="0"/>
    <w:rPr>
      <w:sz w:val="21"/>
      <w:szCs w:val="21"/>
    </w:rPr>
  </w:style>
  <w:style w:type="paragraph" w:customStyle="1" w:styleId="43">
    <w:name w:val="图表目录1"/>
    <w:next w:val="44"/>
    <w:qFormat/>
    <w:uiPriority w:val="0"/>
    <w:pPr>
      <w:widowControl w:val="0"/>
      <w:ind w:left="200" w:leftChars="200" w:hanging="200" w:hangingChars="200"/>
      <w:jc w:val="both"/>
    </w:pPr>
    <w:rPr>
      <w:rFonts w:ascii="Calibri" w:hAnsi="Calibri" w:eastAsia="宋体" w:cs="Times New Roman"/>
      <w:kern w:val="2"/>
      <w:sz w:val="21"/>
      <w:szCs w:val="24"/>
      <w:lang w:val="en-US" w:eastAsia="zh-CN" w:bidi="ar-SA"/>
    </w:rPr>
  </w:style>
  <w:style w:type="paragraph" w:customStyle="1" w:styleId="44">
    <w:name w:val="正文 New New New New New New New New New New New New New New New New New New New New New New New New New New New New New New New New New New New New New New New New New New New New New New New New New New New New New New New New New New New New"/>
    <w:next w:val="43"/>
    <w:unhideWhenUsed/>
    <w:qFormat/>
    <w:uiPriority w:val="0"/>
    <w:pPr>
      <w:widowControl w:val="0"/>
      <w:jc w:val="both"/>
    </w:pPr>
    <w:rPr>
      <w:rFonts w:ascii="Calibri" w:hAnsi="Calibri" w:eastAsia="宋体" w:cs="Times New Roman"/>
      <w:kern w:val="2"/>
      <w:sz w:val="21"/>
      <w:lang w:val="en-US" w:eastAsia="zh-CN" w:bidi="ar-SA"/>
    </w:rPr>
  </w:style>
  <w:style w:type="character" w:customStyle="1" w:styleId="45">
    <w:name w:val="标题 1 字符"/>
    <w:basedOn w:val="37"/>
    <w:link w:val="3"/>
    <w:qFormat/>
    <w:uiPriority w:val="0"/>
    <w:rPr>
      <w:rFonts w:ascii="Times New Roman" w:hAnsi="Times New Roman" w:eastAsia="黑体" w:cs="Times New Roman"/>
      <w:bCs/>
      <w:kern w:val="44"/>
      <w:sz w:val="32"/>
      <w:szCs w:val="44"/>
    </w:rPr>
  </w:style>
  <w:style w:type="character" w:customStyle="1" w:styleId="46">
    <w:name w:val="标题 2 字符"/>
    <w:basedOn w:val="37"/>
    <w:link w:val="4"/>
    <w:qFormat/>
    <w:uiPriority w:val="0"/>
    <w:rPr>
      <w:rFonts w:ascii="Arial" w:hAnsi="Arial" w:eastAsia="黑体" w:cs="Times New Roman"/>
      <w:bCs/>
      <w:kern w:val="2"/>
      <w:sz w:val="30"/>
      <w:szCs w:val="32"/>
    </w:rPr>
  </w:style>
  <w:style w:type="character" w:customStyle="1" w:styleId="47">
    <w:name w:val="标题 3 字符"/>
    <w:basedOn w:val="37"/>
    <w:link w:val="5"/>
    <w:qFormat/>
    <w:uiPriority w:val="0"/>
    <w:rPr>
      <w:rFonts w:ascii="Times New Roman" w:hAnsi="Times New Roman" w:eastAsia="黑体" w:cs="Times New Roman"/>
      <w:bCs/>
      <w:kern w:val="2"/>
      <w:sz w:val="28"/>
      <w:szCs w:val="32"/>
    </w:rPr>
  </w:style>
  <w:style w:type="character" w:customStyle="1" w:styleId="48">
    <w:name w:val="标题 4 字符"/>
    <w:basedOn w:val="37"/>
    <w:link w:val="2"/>
    <w:qFormat/>
    <w:uiPriority w:val="0"/>
    <w:rPr>
      <w:rFonts w:ascii="Times New Roman" w:hAnsi="Times New Roman" w:eastAsia="黑体" w:cs="Times New Roman"/>
      <w:bCs/>
      <w:kern w:val="2"/>
      <w:sz w:val="24"/>
      <w:szCs w:val="21"/>
    </w:rPr>
  </w:style>
  <w:style w:type="character" w:customStyle="1" w:styleId="49">
    <w:name w:val="标题 5 字符"/>
    <w:basedOn w:val="37"/>
    <w:link w:val="6"/>
    <w:qFormat/>
    <w:uiPriority w:val="0"/>
    <w:rPr>
      <w:rFonts w:ascii="Times New Roman" w:hAnsi="Times New Roman" w:eastAsia="宋体" w:cs="Times New Roman"/>
      <w:bCs/>
      <w:kern w:val="2"/>
      <w:sz w:val="24"/>
      <w:szCs w:val="28"/>
    </w:rPr>
  </w:style>
  <w:style w:type="character" w:customStyle="1" w:styleId="50">
    <w:name w:val="标题 6 字符"/>
    <w:basedOn w:val="37"/>
    <w:link w:val="7"/>
    <w:qFormat/>
    <w:uiPriority w:val="0"/>
    <w:rPr>
      <w:rFonts w:ascii="Times New Roman" w:hAnsi="Times New Roman" w:eastAsia="宋体" w:cs="Times New Roman"/>
      <w:bCs/>
      <w:kern w:val="2"/>
      <w:sz w:val="21"/>
      <w:szCs w:val="21"/>
    </w:rPr>
  </w:style>
  <w:style w:type="character" w:customStyle="1" w:styleId="51">
    <w:name w:val="标题 7 字符"/>
    <w:basedOn w:val="37"/>
    <w:link w:val="8"/>
    <w:qFormat/>
    <w:uiPriority w:val="0"/>
    <w:rPr>
      <w:rFonts w:ascii="Times New Roman" w:hAnsi="Times New Roman" w:eastAsia="宋体" w:cs="Times New Roman"/>
      <w:bCs/>
      <w:kern w:val="2"/>
      <w:sz w:val="21"/>
      <w:szCs w:val="21"/>
    </w:rPr>
  </w:style>
  <w:style w:type="character" w:customStyle="1" w:styleId="52">
    <w:name w:val="标题 8 字符"/>
    <w:basedOn w:val="37"/>
    <w:link w:val="9"/>
    <w:qFormat/>
    <w:uiPriority w:val="0"/>
    <w:rPr>
      <w:rFonts w:ascii="Arial" w:hAnsi="Arial" w:eastAsia="宋体" w:cs="Times New Roman"/>
      <w:kern w:val="2"/>
      <w:sz w:val="21"/>
      <w:szCs w:val="21"/>
    </w:rPr>
  </w:style>
  <w:style w:type="character" w:customStyle="1" w:styleId="53">
    <w:name w:val="标题 9 字符"/>
    <w:basedOn w:val="37"/>
    <w:link w:val="10"/>
    <w:qFormat/>
    <w:uiPriority w:val="0"/>
    <w:rPr>
      <w:rFonts w:ascii="Times New Roman" w:hAnsi="Times New Roman" w:eastAsia="宋体" w:cs="Times New Roman"/>
      <w:kern w:val="2"/>
      <w:sz w:val="21"/>
      <w:szCs w:val="21"/>
    </w:rPr>
  </w:style>
  <w:style w:type="character" w:customStyle="1" w:styleId="54">
    <w:name w:val="批注文字 字符"/>
    <w:basedOn w:val="37"/>
    <w:link w:val="14"/>
    <w:semiHidden/>
    <w:qFormat/>
    <w:uiPriority w:val="99"/>
    <w:rPr>
      <w:rFonts w:ascii="Times New Roman" w:hAnsi="Times New Roman" w:eastAsia="宋体" w:cs="Times New Roman"/>
      <w:szCs w:val="24"/>
    </w:rPr>
  </w:style>
  <w:style w:type="character" w:customStyle="1" w:styleId="55">
    <w:name w:val="批注主题 字符"/>
    <w:basedOn w:val="54"/>
    <w:link w:val="30"/>
    <w:qFormat/>
    <w:uiPriority w:val="0"/>
    <w:rPr>
      <w:rFonts w:ascii="Times New Roman" w:hAnsi="Times New Roman" w:eastAsia="宋体" w:cs="Times New Roman"/>
      <w:b/>
      <w:bCs/>
      <w:szCs w:val="24"/>
    </w:rPr>
  </w:style>
  <w:style w:type="character" w:customStyle="1" w:styleId="56">
    <w:name w:val="正文缩进 字符"/>
    <w:link w:val="11"/>
    <w:qFormat/>
    <w:uiPriority w:val="0"/>
    <w:rPr>
      <w:rFonts w:ascii="Arial" w:hAnsi="Arial" w:eastAsia="楷体_GB2312"/>
      <w:sz w:val="28"/>
    </w:rPr>
  </w:style>
  <w:style w:type="character" w:customStyle="1" w:styleId="57">
    <w:name w:val="文档结构图 字符"/>
    <w:link w:val="13"/>
    <w:qFormat/>
    <w:uiPriority w:val="0"/>
    <w:rPr>
      <w:rFonts w:ascii="宋体"/>
      <w:sz w:val="18"/>
      <w:szCs w:val="18"/>
    </w:rPr>
  </w:style>
  <w:style w:type="character" w:customStyle="1" w:styleId="58">
    <w:name w:val="正文文本 字符"/>
    <w:link w:val="15"/>
    <w:qFormat/>
    <w:uiPriority w:val="0"/>
    <w:rPr>
      <w:rFonts w:eastAsia="宋体"/>
      <w:szCs w:val="24"/>
    </w:rPr>
  </w:style>
  <w:style w:type="character" w:customStyle="1" w:styleId="59">
    <w:name w:val="正文文本缩进 字符"/>
    <w:basedOn w:val="37"/>
    <w:link w:val="17"/>
    <w:qFormat/>
    <w:uiPriority w:val="0"/>
    <w:rPr>
      <w:rFonts w:ascii="Times New Roman" w:hAnsi="Times New Roman" w:eastAsia="宋体" w:cs="Times New Roman"/>
      <w:szCs w:val="24"/>
    </w:rPr>
  </w:style>
  <w:style w:type="character" w:customStyle="1" w:styleId="60">
    <w:name w:val="纯文本 字符"/>
    <w:basedOn w:val="37"/>
    <w:link w:val="19"/>
    <w:qFormat/>
    <w:uiPriority w:val="0"/>
    <w:rPr>
      <w:rFonts w:ascii="宋体" w:hAnsi="Courier New" w:eastAsia="宋体" w:cs="Courier New"/>
      <w:szCs w:val="21"/>
    </w:rPr>
  </w:style>
  <w:style w:type="character" w:customStyle="1" w:styleId="61">
    <w:name w:val="日期 字符"/>
    <w:link w:val="20"/>
    <w:qFormat/>
    <w:uiPriority w:val="0"/>
    <w:rPr>
      <w:szCs w:val="24"/>
    </w:rPr>
  </w:style>
  <w:style w:type="character" w:customStyle="1" w:styleId="62">
    <w:name w:val="正文文本缩进 2 字符"/>
    <w:basedOn w:val="37"/>
    <w:link w:val="21"/>
    <w:qFormat/>
    <w:uiPriority w:val="0"/>
    <w:rPr>
      <w:rFonts w:ascii="宋体" w:hAnsi="Times New Roman" w:eastAsia="宋体" w:cs="Times New Roman"/>
      <w:sz w:val="24"/>
      <w:szCs w:val="24"/>
    </w:rPr>
  </w:style>
  <w:style w:type="character" w:customStyle="1" w:styleId="63">
    <w:name w:val="批注框文本 字符"/>
    <w:link w:val="22"/>
    <w:qFormat/>
    <w:uiPriority w:val="0"/>
    <w:rPr>
      <w:rFonts w:ascii="宋体" w:hAnsi="宋体"/>
      <w:kern w:val="44"/>
      <w:sz w:val="18"/>
      <w:szCs w:val="18"/>
    </w:rPr>
  </w:style>
  <w:style w:type="character" w:customStyle="1" w:styleId="64">
    <w:name w:val="页脚 字符"/>
    <w:basedOn w:val="37"/>
    <w:link w:val="23"/>
    <w:qFormat/>
    <w:uiPriority w:val="99"/>
    <w:rPr>
      <w:sz w:val="18"/>
      <w:szCs w:val="18"/>
    </w:rPr>
  </w:style>
  <w:style w:type="character" w:customStyle="1" w:styleId="65">
    <w:name w:val="页眉 字符"/>
    <w:basedOn w:val="37"/>
    <w:link w:val="24"/>
    <w:qFormat/>
    <w:uiPriority w:val="99"/>
    <w:rPr>
      <w:sz w:val="18"/>
      <w:szCs w:val="18"/>
    </w:rPr>
  </w:style>
  <w:style w:type="character" w:customStyle="1" w:styleId="66">
    <w:name w:val="样式 华文正文 + (西文) 仿宋_GB2312 (中文) 宋体 Char Char"/>
    <w:link w:val="67"/>
    <w:qFormat/>
    <w:uiPriority w:val="0"/>
    <w:rPr>
      <w:rFonts w:ascii="仿宋_GB2312" w:hAnsi="仿宋_GB2312" w:eastAsia="仿宋_GB2312"/>
      <w:sz w:val="24"/>
      <w:szCs w:val="24"/>
    </w:rPr>
  </w:style>
  <w:style w:type="paragraph" w:customStyle="1" w:styleId="67">
    <w:name w:val="样式 华文正文 + (西文) 仿宋_GB2312 (中文) 宋体"/>
    <w:basedOn w:val="68"/>
    <w:link w:val="66"/>
    <w:qFormat/>
    <w:uiPriority w:val="0"/>
    <w:rPr>
      <w:rFonts w:ascii="仿宋_GB2312" w:hAnsi="仿宋_GB2312"/>
    </w:rPr>
  </w:style>
  <w:style w:type="paragraph" w:customStyle="1" w:styleId="68">
    <w:name w:val="华文正文"/>
    <w:basedOn w:val="15"/>
    <w:link w:val="69"/>
    <w:qFormat/>
    <w:uiPriority w:val="0"/>
    <w:pPr>
      <w:spacing w:after="0" w:line="300" w:lineRule="auto"/>
      <w:ind w:firstLine="200" w:firstLineChars="200"/>
      <w:jc w:val="left"/>
    </w:pPr>
    <w:rPr>
      <w:rFonts w:eastAsia="仿宋_GB2312"/>
      <w:sz w:val="24"/>
    </w:rPr>
  </w:style>
  <w:style w:type="character" w:customStyle="1" w:styleId="69">
    <w:name w:val="华文正文 Char Char"/>
    <w:link w:val="68"/>
    <w:qFormat/>
    <w:uiPriority w:val="0"/>
    <w:rPr>
      <w:rFonts w:eastAsia="仿宋_GB2312"/>
      <w:sz w:val="24"/>
      <w:szCs w:val="24"/>
    </w:rPr>
  </w:style>
  <w:style w:type="character" w:customStyle="1" w:styleId="70">
    <w:name w:val="自定义正文 Char Char Char"/>
    <w:link w:val="71"/>
    <w:qFormat/>
    <w:uiPriority w:val="0"/>
    <w:rPr>
      <w:rFonts w:ascii="Tahoma" w:hAnsi="Tahoma" w:eastAsia="宋体" w:cs="Tahoma"/>
      <w:spacing w:val="15"/>
      <w:sz w:val="24"/>
      <w:szCs w:val="24"/>
    </w:rPr>
  </w:style>
  <w:style w:type="paragraph" w:customStyle="1" w:styleId="71">
    <w:name w:val="自定义正文"/>
    <w:basedOn w:val="1"/>
    <w:link w:val="70"/>
    <w:qFormat/>
    <w:uiPriority w:val="0"/>
    <w:pPr>
      <w:spacing w:line="300" w:lineRule="auto"/>
      <w:ind w:firstLine="540" w:firstLineChars="200"/>
    </w:pPr>
    <w:rPr>
      <w:rFonts w:ascii="Tahoma" w:hAnsi="Tahoma" w:cs="Tahoma"/>
      <w:spacing w:val="15"/>
      <w:sz w:val="24"/>
    </w:rPr>
  </w:style>
  <w:style w:type="character" w:customStyle="1" w:styleId="72">
    <w:name w:val="标题4，验收 Char Char"/>
    <w:link w:val="73"/>
    <w:qFormat/>
    <w:uiPriority w:val="0"/>
    <w:rPr>
      <w:b/>
      <w:bCs/>
      <w:kern w:val="2"/>
      <w:sz w:val="28"/>
      <w:szCs w:val="21"/>
    </w:rPr>
  </w:style>
  <w:style w:type="paragraph" w:customStyle="1" w:styleId="73">
    <w:name w:val="标题4，验收"/>
    <w:basedOn w:val="2"/>
    <w:next w:val="74"/>
    <w:link w:val="72"/>
    <w:qFormat/>
    <w:uiPriority w:val="0"/>
    <w:pPr>
      <w:tabs>
        <w:tab w:val="left" w:pos="425"/>
        <w:tab w:val="left" w:pos="1647"/>
        <w:tab w:val="clear" w:pos="360"/>
      </w:tabs>
    </w:pPr>
    <w:rPr>
      <w:rFonts w:asciiTheme="minorHAnsi" w:hAnsiTheme="minorHAnsi" w:eastAsiaTheme="minorEastAsia" w:cstheme="minorBidi"/>
      <w:b/>
      <w:sz w:val="28"/>
    </w:rPr>
  </w:style>
  <w:style w:type="paragraph" w:customStyle="1" w:styleId="74">
    <w:name w:val="验收正文"/>
    <w:basedOn w:val="1"/>
    <w:link w:val="75"/>
    <w:qFormat/>
    <w:uiPriority w:val="0"/>
    <w:pPr>
      <w:spacing w:line="300" w:lineRule="auto"/>
      <w:ind w:firstLine="200" w:firstLineChars="200"/>
    </w:pPr>
    <w:rPr>
      <w:rFonts w:asciiTheme="minorHAnsi" w:hAnsiTheme="minorHAnsi" w:cstheme="minorBidi"/>
      <w:sz w:val="24"/>
    </w:rPr>
  </w:style>
  <w:style w:type="character" w:customStyle="1" w:styleId="75">
    <w:name w:val="验收正文 Char Char"/>
    <w:link w:val="74"/>
    <w:qFormat/>
    <w:uiPriority w:val="0"/>
    <w:rPr>
      <w:rFonts w:eastAsia="宋体"/>
      <w:sz w:val="24"/>
      <w:szCs w:val="24"/>
    </w:rPr>
  </w:style>
  <w:style w:type="character" w:customStyle="1" w:styleId="76">
    <w:name w:val="无间隔 Char"/>
    <w:link w:val="77"/>
    <w:qFormat/>
    <w:uiPriority w:val="0"/>
    <w:rPr>
      <w:rFonts w:ascii="Calibri" w:hAnsi="Calibri"/>
      <w:sz w:val="22"/>
    </w:rPr>
  </w:style>
  <w:style w:type="paragraph" w:customStyle="1" w:styleId="77">
    <w:name w:val="无间隔1"/>
    <w:link w:val="76"/>
    <w:qFormat/>
    <w:uiPriority w:val="0"/>
    <w:rPr>
      <w:rFonts w:ascii="Calibri" w:hAnsi="Calibri" w:eastAsiaTheme="minorEastAsia" w:cstheme="minorBidi"/>
      <w:kern w:val="2"/>
      <w:sz w:val="22"/>
      <w:szCs w:val="22"/>
      <w:lang w:val="en-US" w:eastAsia="zh-CN" w:bidi="ar-SA"/>
    </w:rPr>
  </w:style>
  <w:style w:type="character" w:customStyle="1" w:styleId="78">
    <w:name w:val="批注框文本 Char1"/>
    <w:basedOn w:val="37"/>
    <w:semiHidden/>
    <w:qFormat/>
    <w:uiPriority w:val="99"/>
    <w:rPr>
      <w:rFonts w:ascii="Times New Roman" w:hAnsi="Times New Roman" w:eastAsia="宋体" w:cs="Times New Roman"/>
      <w:sz w:val="18"/>
      <w:szCs w:val="18"/>
    </w:rPr>
  </w:style>
  <w:style w:type="character" w:customStyle="1" w:styleId="79">
    <w:name w:val="文档结构图 Char1"/>
    <w:basedOn w:val="37"/>
    <w:semiHidden/>
    <w:qFormat/>
    <w:uiPriority w:val="99"/>
    <w:rPr>
      <w:rFonts w:ascii="宋体" w:hAnsi="Times New Roman" w:eastAsia="宋体" w:cs="Times New Roman"/>
      <w:sz w:val="18"/>
      <w:szCs w:val="18"/>
    </w:rPr>
  </w:style>
  <w:style w:type="character" w:customStyle="1" w:styleId="80">
    <w:name w:val="日期 Char1"/>
    <w:basedOn w:val="37"/>
    <w:semiHidden/>
    <w:qFormat/>
    <w:uiPriority w:val="99"/>
    <w:rPr>
      <w:rFonts w:ascii="Times New Roman" w:hAnsi="Times New Roman" w:eastAsia="宋体" w:cs="Times New Roman"/>
      <w:szCs w:val="24"/>
    </w:rPr>
  </w:style>
  <w:style w:type="character" w:customStyle="1" w:styleId="81">
    <w:name w:val="正文文本 Char1"/>
    <w:basedOn w:val="37"/>
    <w:semiHidden/>
    <w:qFormat/>
    <w:uiPriority w:val="99"/>
    <w:rPr>
      <w:rFonts w:ascii="Times New Roman" w:hAnsi="Times New Roman" w:eastAsia="宋体" w:cs="Times New Roman"/>
      <w:szCs w:val="24"/>
    </w:rPr>
  </w:style>
  <w:style w:type="paragraph" w:customStyle="1" w:styleId="82">
    <w:name w:val="验收"/>
    <w:basedOn w:val="1"/>
    <w:qFormat/>
    <w:uiPriority w:val="0"/>
    <w:pPr>
      <w:tabs>
        <w:tab w:val="left" w:pos="851"/>
      </w:tabs>
      <w:spacing w:line="300" w:lineRule="auto"/>
      <w:ind w:left="851" w:hanging="851"/>
      <w:jc w:val="left"/>
    </w:pPr>
    <w:rPr>
      <w:rFonts w:ascii="宋体" w:hAnsi="宋体" w:cs="宋体"/>
      <w:sz w:val="24"/>
      <w:szCs w:val="20"/>
    </w:rPr>
  </w:style>
  <w:style w:type="paragraph" w:customStyle="1" w:styleId="83">
    <w:name w:val="图表居中"/>
    <w:basedOn w:val="1"/>
    <w:next w:val="84"/>
    <w:qFormat/>
    <w:uiPriority w:val="0"/>
    <w:pPr>
      <w:jc w:val="center"/>
    </w:pPr>
    <w:rPr>
      <w:rFonts w:ascii="Arial" w:hAnsi="Arial"/>
      <w:b/>
    </w:rPr>
  </w:style>
  <w:style w:type="paragraph" w:customStyle="1" w:styleId="84">
    <w:name w:val="首行缩进"/>
    <w:basedOn w:val="1"/>
    <w:qFormat/>
    <w:uiPriority w:val="0"/>
    <w:pPr>
      <w:spacing w:line="360" w:lineRule="auto"/>
      <w:ind w:firstLine="480" w:firstLineChars="200"/>
    </w:pPr>
    <w:rPr>
      <w:rFonts w:ascii="Arial" w:hAnsi="Arial"/>
      <w:sz w:val="24"/>
    </w:rPr>
  </w:style>
  <w:style w:type="paragraph" w:customStyle="1" w:styleId="85">
    <w:name w:val="样式1"/>
    <w:basedOn w:val="1"/>
    <w:qFormat/>
    <w:uiPriority w:val="0"/>
    <w:pPr>
      <w:adjustRightInd w:val="0"/>
      <w:spacing w:line="420" w:lineRule="auto"/>
      <w:jc w:val="center"/>
      <w:textAlignment w:val="baseline"/>
    </w:pPr>
    <w:rPr>
      <w:rFonts w:ascii="宋体"/>
      <w:kern w:val="0"/>
      <w:sz w:val="24"/>
      <w:szCs w:val="20"/>
    </w:rPr>
  </w:style>
  <w:style w:type="paragraph" w:customStyle="1" w:styleId="86">
    <w:name w:val="样式 居中"/>
    <w:basedOn w:val="1"/>
    <w:qFormat/>
    <w:uiPriority w:val="0"/>
    <w:pPr>
      <w:jc w:val="center"/>
    </w:pPr>
    <w:rPr>
      <w:rFonts w:eastAsia="仿宋_GB2312" w:cs="宋体"/>
      <w:szCs w:val="20"/>
    </w:rPr>
  </w:style>
  <w:style w:type="paragraph" w:customStyle="1" w:styleId="87">
    <w:name w:val="文头"/>
    <w:basedOn w:val="1"/>
    <w:qFormat/>
    <w:uiPriority w:val="0"/>
    <w:pPr>
      <w:autoSpaceDE w:val="0"/>
      <w:autoSpaceDN w:val="0"/>
      <w:adjustRightInd w:val="0"/>
      <w:spacing w:line="480" w:lineRule="auto"/>
      <w:jc w:val="center"/>
    </w:pPr>
    <w:rPr>
      <w:rFonts w:ascii="仿宋_GB2312" w:eastAsia="仿宋_GB2312" w:cs="仿宋_GB2312"/>
      <w:b/>
      <w:bCs/>
      <w:sz w:val="36"/>
      <w:szCs w:val="36"/>
      <w:lang w:val="zh-CN"/>
    </w:rPr>
  </w:style>
  <w:style w:type="paragraph" w:customStyle="1" w:styleId="88">
    <w:name w:val="注释"/>
    <w:basedOn w:val="15"/>
    <w:qFormat/>
    <w:uiPriority w:val="0"/>
    <w:pPr>
      <w:spacing w:after="0"/>
      <w:jc w:val="center"/>
    </w:pPr>
    <w:rPr>
      <w:rFonts w:eastAsia="仿宋_GB2312"/>
    </w:rPr>
  </w:style>
  <w:style w:type="paragraph" w:customStyle="1" w:styleId="89">
    <w:name w:val="样式 标题 2 + 宋体 小四 段前: 7.8 磅 段后: 0 磅 行距: 1.5 倍行距"/>
    <w:basedOn w:val="4"/>
    <w:qFormat/>
    <w:uiPriority w:val="0"/>
    <w:pPr>
      <w:spacing w:before="156" w:after="0"/>
    </w:pPr>
    <w:rPr>
      <w:rFonts w:ascii="宋体" w:hAnsi="宋体" w:eastAsia="宋体" w:cs="宋体"/>
      <w:szCs w:val="20"/>
    </w:rPr>
  </w:style>
  <w:style w:type="paragraph" w:customStyle="1" w:styleId="90">
    <w:name w:val="样式2"/>
    <w:basedOn w:val="5"/>
    <w:qFormat/>
    <w:uiPriority w:val="0"/>
  </w:style>
  <w:style w:type="paragraph" w:customStyle="1" w:styleId="91">
    <w:name w:val="大标题"/>
    <w:basedOn w:val="3"/>
    <w:next w:val="1"/>
    <w:qFormat/>
    <w:uiPriority w:val="0"/>
    <w:pPr>
      <w:tabs>
        <w:tab w:val="left" w:pos="420"/>
      </w:tabs>
      <w:spacing w:before="0" w:after="0"/>
      <w:ind w:left="420" w:hanging="420"/>
    </w:pPr>
    <w:rPr>
      <w:rFonts w:ascii="仿宋_GB2312" w:hAnsi="宋体" w:eastAsia="仿宋_GB2312" w:cs="Arial"/>
      <w:sz w:val="28"/>
      <w:szCs w:val="28"/>
    </w:rPr>
  </w:style>
  <w:style w:type="paragraph" w:customStyle="1" w:styleId="92">
    <w:name w:val="章节标题"/>
    <w:basedOn w:val="3"/>
    <w:next w:val="68"/>
    <w:qFormat/>
    <w:uiPriority w:val="0"/>
    <w:pPr>
      <w:tabs>
        <w:tab w:val="left" w:pos="425"/>
      </w:tabs>
      <w:spacing w:line="480" w:lineRule="auto"/>
      <w:jc w:val="left"/>
    </w:pPr>
    <w:rPr>
      <w:rFonts w:eastAsia="仿宋_GB2312"/>
      <w:sz w:val="28"/>
    </w:rPr>
  </w:style>
  <w:style w:type="paragraph" w:customStyle="1" w:styleId="93">
    <w:name w:val="表"/>
    <w:basedOn w:val="27"/>
    <w:next w:val="27"/>
    <w:qFormat/>
    <w:uiPriority w:val="0"/>
    <w:pPr>
      <w:spacing w:line="360" w:lineRule="auto"/>
      <w:jc w:val="center"/>
    </w:pPr>
    <w:rPr>
      <w:b/>
      <w:sz w:val="24"/>
    </w:rPr>
  </w:style>
  <w:style w:type="paragraph" w:customStyle="1" w:styleId="94">
    <w:name w:val="列出段落1"/>
    <w:basedOn w:val="1"/>
    <w:qFormat/>
    <w:uiPriority w:val="0"/>
    <w:pPr>
      <w:ind w:firstLine="420" w:firstLineChars="200"/>
    </w:pPr>
    <w:rPr>
      <w:rFonts w:ascii="Calibri" w:hAnsi="Calibri"/>
      <w:szCs w:val="22"/>
    </w:rPr>
  </w:style>
  <w:style w:type="paragraph" w:customStyle="1" w:styleId="95">
    <w:name w:val="图片"/>
    <w:basedOn w:val="1"/>
    <w:qFormat/>
    <w:uiPriority w:val="0"/>
    <w:pPr>
      <w:numPr>
        <w:ilvl w:val="0"/>
        <w:numId w:val="2"/>
      </w:numPr>
      <w:spacing w:line="360" w:lineRule="auto"/>
      <w:jc w:val="center"/>
    </w:pPr>
    <w:rPr>
      <w:rFonts w:eastAsia="黑体"/>
    </w:rPr>
  </w:style>
  <w:style w:type="paragraph" w:customStyle="1" w:styleId="96">
    <w:name w:val="宋体 五号 左"/>
    <w:basedOn w:val="1"/>
    <w:qFormat/>
    <w:uiPriority w:val="0"/>
    <w:pPr>
      <w:jc w:val="left"/>
    </w:pPr>
    <w:rPr>
      <w:rFonts w:ascii="宋体" w:hAnsi="宋体"/>
      <w:kern w:val="0"/>
      <w:szCs w:val="20"/>
    </w:rPr>
  </w:style>
  <w:style w:type="paragraph" w:customStyle="1" w:styleId="97">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98">
    <w:name w:val="封面正文"/>
    <w:qFormat/>
    <w:uiPriority w:val="0"/>
    <w:pPr>
      <w:jc w:val="both"/>
    </w:pPr>
    <w:rPr>
      <w:rFonts w:ascii="Times New Roman" w:hAnsi="Times New Roman" w:eastAsia="宋体" w:cs="Times New Roman"/>
      <w:lang w:val="en-US" w:eastAsia="zh-CN" w:bidi="ar-SA"/>
    </w:rPr>
  </w:style>
  <w:style w:type="paragraph" w:customStyle="1" w:styleId="99">
    <w:name w:val="修订1"/>
    <w:qFormat/>
    <w:uiPriority w:val="0"/>
    <w:rPr>
      <w:rFonts w:ascii="Times New Roman" w:hAnsi="Times New Roman" w:eastAsia="宋体" w:cs="Times New Roman"/>
      <w:kern w:val="2"/>
      <w:sz w:val="21"/>
      <w:szCs w:val="24"/>
      <w:lang w:val="en-US" w:eastAsia="zh-CN" w:bidi="ar-SA"/>
    </w:rPr>
  </w:style>
  <w:style w:type="paragraph" w:customStyle="1" w:styleId="100">
    <w:name w:val="表格"/>
    <w:basedOn w:val="68"/>
    <w:qFormat/>
    <w:uiPriority w:val="0"/>
    <w:pPr>
      <w:numPr>
        <w:ilvl w:val="0"/>
        <w:numId w:val="3"/>
      </w:numPr>
      <w:spacing w:line="240" w:lineRule="auto"/>
      <w:ind w:firstLine="0" w:firstLineChars="0"/>
      <w:jc w:val="center"/>
    </w:pPr>
    <w:rPr>
      <w:rFonts w:eastAsia="黑体"/>
      <w:sz w:val="21"/>
    </w:rPr>
  </w:style>
  <w:style w:type="paragraph" w:customStyle="1" w:styleId="101">
    <w:name w:val="样式7"/>
    <w:basedOn w:val="102"/>
    <w:qFormat/>
    <w:uiPriority w:val="0"/>
    <w:pPr>
      <w:keepNext/>
      <w:keepLines/>
      <w:numPr>
        <w:ilvl w:val="2"/>
        <w:numId w:val="4"/>
      </w:numPr>
      <w:spacing w:before="240" w:after="240"/>
      <w:ind w:left="993" w:hanging="567" w:firstLineChars="0"/>
      <w:outlineLvl w:val="1"/>
    </w:pPr>
    <w:rPr>
      <w:b/>
      <w:bCs/>
      <w:sz w:val="24"/>
      <w:lang w:val="de-DE"/>
    </w:rPr>
  </w:style>
  <w:style w:type="paragraph" w:customStyle="1" w:styleId="102">
    <w:name w:val="列出段落2"/>
    <w:basedOn w:val="1"/>
    <w:qFormat/>
    <w:uiPriority w:val="0"/>
    <w:pPr>
      <w:ind w:firstLine="420" w:firstLineChars="200"/>
    </w:pPr>
  </w:style>
  <w:style w:type="paragraph" w:customStyle="1" w:styleId="103">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104">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105">
    <w:name w:val="段"/>
    <w:qFormat/>
    <w:uiPriority w:val="0"/>
    <w:pPr>
      <w:autoSpaceDE w:val="0"/>
      <w:autoSpaceDN w:val="0"/>
      <w:spacing w:line="360" w:lineRule="auto"/>
      <w:ind w:left="1040"/>
      <w:jc w:val="center"/>
    </w:pPr>
    <w:rPr>
      <w:rFonts w:ascii="黑体" w:hAnsi="黑体" w:eastAsia="黑体" w:cs="Times New Roman"/>
      <w:kern w:val="2"/>
      <w:sz w:val="21"/>
      <w:szCs w:val="21"/>
      <w:lang w:val="en-US" w:eastAsia="zh-CN" w:bidi="ar-SA"/>
    </w:rPr>
  </w:style>
  <w:style w:type="paragraph" w:customStyle="1" w:styleId="106">
    <w:name w:val="正文文本缩进1"/>
    <w:basedOn w:val="1"/>
    <w:qFormat/>
    <w:uiPriority w:val="0"/>
    <w:pPr>
      <w:spacing w:line="300" w:lineRule="auto"/>
      <w:ind w:firstLine="480"/>
    </w:pPr>
    <w:rPr>
      <w:rFonts w:ascii="宋体" w:hAnsi="宋体"/>
      <w:kern w:val="0"/>
      <w:sz w:val="24"/>
    </w:rPr>
  </w:style>
  <w:style w:type="paragraph" w:customStyle="1" w:styleId="107">
    <w:name w:val="_Style 4"/>
    <w:basedOn w:val="1"/>
    <w:qFormat/>
    <w:uiPriority w:val="34"/>
    <w:pPr>
      <w:ind w:firstLine="420" w:firstLineChars="200"/>
    </w:pPr>
    <w:rPr>
      <w:rFonts w:ascii="Calibri" w:hAnsi="Calibri"/>
      <w:szCs w:val="22"/>
    </w:rPr>
  </w:style>
  <w:style w:type="paragraph" w:customStyle="1" w:styleId="108">
    <w:name w:val="标题3"/>
    <w:basedOn w:val="1"/>
    <w:next w:val="1"/>
    <w:link w:val="109"/>
    <w:qFormat/>
    <w:uiPriority w:val="0"/>
    <w:pPr>
      <w:autoSpaceDE w:val="0"/>
      <w:autoSpaceDN w:val="0"/>
      <w:adjustRightInd w:val="0"/>
      <w:spacing w:before="120" w:after="120" w:line="360" w:lineRule="auto"/>
      <w:outlineLvl w:val="2"/>
    </w:pPr>
    <w:rPr>
      <w:rFonts w:ascii="黑体" w:hAnsi="宋体" w:eastAsia="黑体"/>
      <w:kern w:val="0"/>
      <w:sz w:val="24"/>
      <w:lang w:val="zh-CN"/>
    </w:rPr>
  </w:style>
  <w:style w:type="character" w:customStyle="1" w:styleId="109">
    <w:name w:val="标题3 Char"/>
    <w:link w:val="108"/>
    <w:qFormat/>
    <w:locked/>
    <w:uiPriority w:val="0"/>
    <w:rPr>
      <w:rFonts w:ascii="黑体" w:hAnsi="宋体" w:eastAsia="黑体" w:cs="Times New Roman"/>
      <w:sz w:val="24"/>
      <w:szCs w:val="24"/>
      <w:lang w:val="zh-CN"/>
    </w:rPr>
  </w:style>
  <w:style w:type="paragraph" w:customStyle="1" w:styleId="110">
    <w:name w:val="可研-正文"/>
    <w:basedOn w:val="1"/>
    <w:link w:val="111"/>
    <w:qFormat/>
    <w:uiPriority w:val="0"/>
    <w:pPr>
      <w:spacing w:before="120" w:after="120" w:line="360" w:lineRule="auto"/>
      <w:ind w:firstLine="560" w:firstLineChars="200"/>
    </w:pPr>
    <w:rPr>
      <w:rFonts w:eastAsia="仿宋_GB2312"/>
      <w:kern w:val="0"/>
      <w:sz w:val="28"/>
      <w:szCs w:val="28"/>
    </w:rPr>
  </w:style>
  <w:style w:type="character" w:customStyle="1" w:styleId="111">
    <w:name w:val="可研-正文 Char"/>
    <w:link w:val="110"/>
    <w:qFormat/>
    <w:uiPriority w:val="0"/>
    <w:rPr>
      <w:rFonts w:ascii="Times New Roman" w:hAnsi="Times New Roman" w:eastAsia="仿宋_GB2312" w:cs="Times New Roman"/>
      <w:sz w:val="28"/>
      <w:szCs w:val="28"/>
    </w:rPr>
  </w:style>
  <w:style w:type="paragraph" w:customStyle="1" w:styleId="112">
    <w:name w:val="列表段落1"/>
    <w:basedOn w:val="1"/>
    <w:link w:val="113"/>
    <w:qFormat/>
    <w:uiPriority w:val="34"/>
    <w:pPr>
      <w:ind w:firstLine="420" w:firstLineChars="200"/>
    </w:pPr>
  </w:style>
  <w:style w:type="character" w:customStyle="1" w:styleId="113">
    <w:name w:val="列表段落 字符"/>
    <w:link w:val="112"/>
    <w:qFormat/>
    <w:locked/>
    <w:uiPriority w:val="99"/>
    <w:rPr>
      <w:rFonts w:ascii="Times New Roman" w:hAnsi="Times New Roman" w:eastAsia="宋体" w:cs="Times New Roman"/>
      <w:kern w:val="2"/>
      <w:sz w:val="21"/>
      <w:szCs w:val="24"/>
    </w:rPr>
  </w:style>
  <w:style w:type="paragraph" w:customStyle="1" w:styleId="114">
    <w:name w:val="表格文字"/>
    <w:basedOn w:val="1"/>
    <w:qFormat/>
    <w:uiPriority w:val="0"/>
    <w:rPr>
      <w:rFonts w:asciiTheme="minorHAnsi" w:hAnsiTheme="minorHAnsi" w:eastAsiaTheme="minorEastAsia" w:cstheme="minorBidi"/>
    </w:rPr>
  </w:style>
  <w:style w:type="paragraph" w:customStyle="1" w:styleId="115">
    <w:name w:val="表格内容"/>
    <w:basedOn w:val="1"/>
    <w:qFormat/>
    <w:uiPriority w:val="0"/>
    <w:pPr>
      <w:widowControl/>
      <w:spacing w:before="60" w:after="60"/>
      <w:jc w:val="left"/>
    </w:pPr>
    <w:rPr>
      <w:rFonts w:cstheme="minorBidi"/>
      <w:kern w:val="0"/>
      <w:szCs w:val="23"/>
      <w:lang w:val="en-GB"/>
    </w:rPr>
  </w:style>
  <w:style w:type="character" w:customStyle="1" w:styleId="116">
    <w:name w:val="页脚 Char"/>
    <w:qFormat/>
    <w:uiPriority w:val="99"/>
    <w:rPr>
      <w:kern w:val="2"/>
      <w:sz w:val="18"/>
      <w:szCs w:val="18"/>
    </w:rPr>
  </w:style>
  <w:style w:type="character" w:customStyle="1" w:styleId="117">
    <w:name w:val="页眉 Char"/>
    <w:qFormat/>
    <w:uiPriority w:val="99"/>
    <w:rPr>
      <w:kern w:val="2"/>
      <w:sz w:val="18"/>
      <w:szCs w:val="18"/>
    </w:rPr>
  </w:style>
  <w:style w:type="paragraph" w:customStyle="1" w:styleId="118">
    <w:name w:val="列表段落2"/>
    <w:basedOn w:val="1"/>
    <w:qFormat/>
    <w:uiPriority w:val="0"/>
    <w:pPr>
      <w:ind w:firstLine="420" w:firstLineChars="200"/>
    </w:pPr>
  </w:style>
  <w:style w:type="paragraph" w:customStyle="1" w:styleId="119">
    <w:name w:val="List Paragraph"/>
    <w:basedOn w:val="1"/>
    <w:qFormat/>
    <w:uiPriority w:val="99"/>
    <w:pPr>
      <w:ind w:firstLine="420" w:firstLineChars="200"/>
    </w:pPr>
  </w:style>
  <w:style w:type="table" w:customStyle="1" w:styleId="120">
    <w:name w:val="网格型浅色1"/>
    <w:basedOn w:val="3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21">
    <w:name w:val="无格式表格 11"/>
    <w:basedOn w:val="32"/>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22">
    <w:name w:val="无格式表格 21"/>
    <w:basedOn w:val="32"/>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character" w:customStyle="1" w:styleId="123">
    <w:name w:val="Placeholder Text"/>
    <w:basedOn w:val="37"/>
    <w:semiHidden/>
    <w:qFormat/>
    <w:uiPriority w:val="99"/>
    <w:rPr>
      <w:color w:val="808080"/>
    </w:rPr>
  </w:style>
  <w:style w:type="paragraph" w:customStyle="1" w:styleId="124">
    <w:name w:val="正文1"/>
    <w:qFormat/>
    <w:uiPriority w:val="0"/>
    <w:pPr>
      <w:jc w:val="both"/>
    </w:pPr>
    <w:rPr>
      <w:rFonts w:ascii="Times New Roman" w:hAnsi="Times New Roman" w:eastAsia="宋体" w:cs="Times New Roman"/>
      <w:kern w:val="2"/>
      <w:sz w:val="21"/>
      <w:szCs w:val="21"/>
      <w:lang w:val="en-US" w:eastAsia="zh-CN" w:bidi="ar-SA"/>
    </w:rPr>
  </w:style>
  <w:style w:type="table" w:customStyle="1" w:styleId="125">
    <w:name w:val="网格型1"/>
    <w:qFormat/>
    <w:uiPriority w:val="39"/>
    <w:pPr>
      <w:widowControl w:val="0"/>
      <w:jc w:val="both"/>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126">
    <w:name w:val="列出段落3"/>
    <w:qFormat/>
    <w:uiPriority w:val="34"/>
    <w:pPr>
      <w:widowControl w:val="0"/>
      <w:ind w:firstLine="420"/>
      <w:jc w:val="both"/>
    </w:pPr>
    <w:rPr>
      <w:rFonts w:ascii="Calibri" w:hAnsi="Calibri" w:eastAsia="宋体" w:cs="Times New Roman"/>
      <w:kern w:val="2"/>
      <w:sz w:val="21"/>
      <w:szCs w:val="22"/>
      <w:lang w:val="en-US" w:eastAsia="zh-CN" w:bidi="ar-SA"/>
    </w:rPr>
  </w:style>
  <w:style w:type="paragraph" w:customStyle="1" w:styleId="127">
    <w:name w:val="No Spacing"/>
    <w:qFormat/>
    <w:uiPriority w:val="1"/>
    <w:rPr>
      <w:rFonts w:ascii="Calibri" w:hAnsi="Calibri" w:eastAsia="宋体" w:cs="Times New Roman"/>
      <w:sz w:val="22"/>
      <w:szCs w:val="22"/>
      <w:lang w:val="en-US" w:eastAsia="zh-CN" w:bidi="ar-SA"/>
    </w:rPr>
  </w:style>
  <w:style w:type="paragraph" w:customStyle="1" w:styleId="128">
    <w:name w:val="章标题"/>
    <w:next w:val="105"/>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129">
    <w:name w:val="表头"/>
    <w:qFormat/>
    <w:uiPriority w:val="0"/>
    <w:pPr>
      <w:widowControl w:val="0"/>
      <w:topLinePunct/>
      <w:spacing w:before="160" w:after="60"/>
      <w:jc w:val="center"/>
    </w:pPr>
    <w:rPr>
      <w:rFonts w:ascii="Times New Roman" w:hAnsi="Times New Roman" w:eastAsia="黑体" w:cs="Times New Roman"/>
      <w:kern w:val="2"/>
      <w:sz w:val="21"/>
      <w:szCs w:val="21"/>
      <w:lang w:val="en-US" w:eastAsia="zh-CN" w:bidi="ar-SA"/>
    </w:rPr>
  </w:style>
  <w:style w:type="paragraph" w:customStyle="1" w:styleId="130">
    <w:name w:val="正文 New New New New New New New New New New New New New New New New New New New New New New New New New New New New New New New New New New New New New New New New New New New New New New New New New New New New New New New New New New New New New New Ne"/>
    <w:next w:val="4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List Paragraph1"/>
    <w:qFormat/>
    <w:uiPriority w:val="0"/>
    <w:pPr>
      <w:widowControl w:val="0"/>
      <w:ind w:firstLine="420" w:firstLineChars="200"/>
      <w:jc w:val="both"/>
    </w:pPr>
    <w:rPr>
      <w:rFonts w:ascii="Times New Roman" w:hAnsi="Times New Roman" w:eastAsia="宋体" w:cs="Times New Roman"/>
      <w:kern w:val="2"/>
      <w:sz w:val="21"/>
      <w:szCs w:val="21"/>
      <w:lang w:val="en-US" w:eastAsia="zh-CN" w:bidi="ar-SA"/>
    </w:rPr>
  </w:style>
  <w:style w:type="paragraph" w:customStyle="1" w:styleId="132">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33">
    <w:name w:val="正文 A"/>
    <w:qFormat/>
    <w:uiPriority w:val="0"/>
    <w:pPr>
      <w:widowControl w:val="0"/>
      <w:jc w:val="both"/>
    </w:pPr>
    <w:rPr>
      <w:rFonts w:ascii="Arial Unicode MS" w:hAnsi="Arial Unicode MS" w:eastAsia="Arial Unicode MS" w:cs="Arial Unicode MS"/>
      <w:color w:val="000000"/>
      <w:sz w:val="22"/>
      <w:szCs w:val="22"/>
      <w:u w:color="000000"/>
      <w:lang w:val="zh-TW" w:eastAsia="zh-TW" w:bidi="ar-SA"/>
    </w:rPr>
  </w:style>
  <w:style w:type="paragraph" w:customStyle="1" w:styleId="134">
    <w:name w:val="图例"/>
    <w:basedOn w:val="1"/>
    <w:qFormat/>
    <w:uiPriority w:val="0"/>
    <w:pPr>
      <w:jc w:val="center"/>
    </w:pPr>
    <w:rPr>
      <w:rFonts w:hint="eastAsia" w:eastAsia="仿宋"/>
      <w:sz w:val="21"/>
      <w:lang w:eastAsia="zh-CN"/>
    </w:rPr>
  </w:style>
  <w:style w:type="paragraph" w:customStyle="1" w:styleId="135">
    <w:name w:val="Body text|1"/>
    <w:qFormat/>
    <w:uiPriority w:val="0"/>
    <w:pPr>
      <w:widowControl w:val="0"/>
      <w:shd w:val="clear" w:color="auto" w:fill="FFFFFF"/>
      <w:spacing w:line="437" w:lineRule="auto"/>
      <w:ind w:firstLine="400"/>
      <w:jc w:val="both"/>
    </w:pPr>
    <w:rPr>
      <w:rFonts w:ascii="宋体" w:hAnsi="宋体" w:eastAsia="宋体" w:cs="宋体"/>
      <w:kern w:val="2"/>
      <w:sz w:val="30"/>
      <w:szCs w:val="30"/>
      <w:u w:val="none"/>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jpeg"/><Relationship Id="rId18" Type="http://schemas.openxmlformats.org/officeDocument/2006/relationships/image" Target="media/image2.jpe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BD48FE-9D44-4D0D-B283-E6FB2F273A7B}">
  <ds:schemaRefs/>
</ds:datastoreItem>
</file>

<file path=docProps/app.xml><?xml version="1.0" encoding="utf-8"?>
<Properties xmlns="http://schemas.openxmlformats.org/officeDocument/2006/extended-properties" xmlns:vt="http://schemas.openxmlformats.org/officeDocument/2006/docPropsVTypes">
  <Template>Normal</Template>
  <Pages>13</Pages>
  <Words>4954</Words>
  <Characters>5920</Characters>
  <Lines>3623</Lines>
  <Paragraphs>1020</Paragraphs>
  <TotalTime>2</TotalTime>
  <ScaleCrop>false</ScaleCrop>
  <LinksUpToDate>false</LinksUpToDate>
  <CharactersWithSpaces>6124</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2019-08-30T06:05:00Z</dcterms:created>
  <dc:creator>zy</dc:creator>
  <cp:lastModifiedBy>刘桓瑞</cp:lastModifiedBy>
  <cp:lastPrinted>2018-08-19T03:46:00Z</cp:lastPrinted>
  <dcterms:modified xsi:type="dcterms:W3CDTF">2023-02-27T07:19:33Z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AD0C62C7AFF242189042CA29810187CF</vt:lpwstr>
  </property>
</Properties>
</file>